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before="120" w:after="60" w:line="500" w:lineRule="exact"/>
        <w:jc w:val="left"/>
        <w:rPr>
          <w:rFonts w:hint="eastAsia" w:ascii="黑体" w:hAnsi="黑体" w:eastAsia="黑体" w:cs="Times New Roman"/>
          <w:kern w:val="0"/>
          <w:sz w:val="40"/>
          <w:szCs w:val="40"/>
          <w:lang w:val="zh-CN" w:eastAsia="zh-CN" w:bidi="ar"/>
        </w:rPr>
      </w:pPr>
      <w:r>
        <w:rPr>
          <w:rFonts w:hint="eastAsia" w:ascii="黑体" w:hAnsi="黑体" w:eastAsia="黑体" w:cs="Times New Roman"/>
          <w:kern w:val="0"/>
          <w:sz w:val="32"/>
          <w:szCs w:val="32"/>
          <w:lang w:val="en-US" w:eastAsia="zh-CN" w:bidi="ar"/>
        </w:rPr>
        <w:t>附件一</w:t>
      </w:r>
    </w:p>
    <w:p>
      <w:pPr>
        <w:widowControl w:val="0"/>
        <w:spacing w:before="120" w:after="60" w:line="500" w:lineRule="exact"/>
        <w:ind w:firstLine="880" w:firstLineChars="200"/>
        <w:jc w:val="center"/>
        <w:rPr>
          <w:rFonts w:ascii="Times New Roman" w:hAnsi="Times New Roman" w:eastAsia="华文中宋" w:cs="Times New Roman"/>
          <w:b/>
          <w:kern w:val="2"/>
          <w:sz w:val="40"/>
          <w:szCs w:val="40"/>
          <w:lang w:val="en-US" w:eastAsia="zh-CN" w:bidi="ar-SA"/>
        </w:rPr>
      </w:pPr>
      <w:r>
        <w:rPr>
          <w:rFonts w:hint="eastAsia" w:ascii="Times New Roman" w:hAnsi="Times New Roman" w:eastAsia="华文中宋" w:cs="Times New Roman"/>
          <w:b/>
          <w:kern w:val="2"/>
          <w:sz w:val="44"/>
          <w:szCs w:val="44"/>
          <w:lang w:val="en-US" w:eastAsia="zh-CN" w:bidi="ar-SA"/>
        </w:rPr>
        <w:t>大型活动费项目支出标准（试行）</w:t>
      </w:r>
    </w:p>
    <w:p>
      <w:pPr>
        <w:widowControl w:val="0"/>
        <w:spacing w:before="120" w:after="60" w:line="500" w:lineRule="exact"/>
        <w:ind w:firstLine="720" w:firstLineChars="200"/>
        <w:jc w:val="center"/>
        <w:rPr>
          <w:rFonts w:hint="eastAsia" w:ascii="黑体" w:hAnsi="黑体" w:eastAsia="黑体" w:cs="Times New Roman"/>
          <w:kern w:val="0"/>
          <w:sz w:val="36"/>
          <w:szCs w:val="36"/>
          <w:lang w:val="zh-CN" w:eastAsia="zh-CN" w:bidi="ar-SA"/>
        </w:rPr>
      </w:pP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
        </w:rPr>
        <w:t>为落实《内蒙古自治区实施零基预算改革三年行动方案（2025—2027年）》《和林格尔县本级零基预算改革实施方案》要求，规范和林格尔县大型活动项目支出预算管理，根据《内蒙古自治区文化和旅游发展专项资金管理办法》（内文旅办字〔2025〕89号）、《呼和浩特市大型活动及会展业管理办法》（呼政发〔2010〕30号）等相关规定，以铸牢中华民族共同体意识为主线，结合和林格尔县大型活动组织实施的实际情况，制定本支出标准。</w:t>
      </w:r>
    </w:p>
    <w:p>
      <w:pPr>
        <w:widowControl w:val="0"/>
        <w:numPr>
          <w:ilvl w:val="0"/>
          <w:numId w:val="2"/>
        </w:numPr>
        <w:adjustRightInd w:val="0"/>
        <w:spacing w:before="120" w:after="60" w:line="500" w:lineRule="exact"/>
        <w:ind w:left="0" w:firstLine="720" w:firstLineChars="200"/>
        <w:jc w:val="left"/>
        <w:outlineLvl w:val="0"/>
        <w:rPr>
          <w:rFonts w:ascii="Times New Roman" w:hAnsi="Times New Roman" w:eastAsia="黑体" w:cs="Times New Roman"/>
          <w:bCs/>
          <w:kern w:val="44"/>
          <w:sz w:val="36"/>
          <w:szCs w:val="48"/>
          <w:lang w:val="zh-CN" w:eastAsia="zh-CN" w:bidi="ar-SA"/>
        </w:rPr>
      </w:pPr>
      <w:r>
        <w:rPr>
          <w:rFonts w:ascii="Times New Roman" w:hAnsi="Times New Roman" w:eastAsia="黑体" w:cs="Times New Roman"/>
          <w:bCs/>
          <w:kern w:val="44"/>
          <w:sz w:val="36"/>
          <w:szCs w:val="48"/>
          <w:lang w:val="zh-CN" w:eastAsia="zh-CN" w:bidi="ar-SA"/>
        </w:rPr>
        <w:t>适用范围</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本标准适用于和林格尔县县级党政机关、事业单位、人民团体（以下简称“主办单位”）使用财政资金举办或承办的各类大型文化、旅游、体育等节庆、庆典、赛事、展会活动（以下简称“大型活动”）的预算编制、审核和执行。活动内容主要包括芍药文化旅游节等县级重点节庆活动及其他类似规模与性质的公共活动。</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通过政府购买服务方式委托企业或社会组织具体承办的活动，应同时遵守政府采购及政府购买服务相关法律法规与程序。</w:t>
      </w:r>
    </w:p>
    <w:p>
      <w:pPr>
        <w:widowControl w:val="0"/>
        <w:numPr>
          <w:ilvl w:val="0"/>
          <w:numId w:val="2"/>
        </w:numPr>
        <w:adjustRightInd w:val="0"/>
        <w:spacing w:before="120" w:after="60" w:line="500" w:lineRule="exact"/>
        <w:ind w:left="0" w:firstLine="720" w:firstLineChars="200"/>
        <w:jc w:val="left"/>
        <w:outlineLvl w:val="0"/>
        <w:rPr>
          <w:rFonts w:ascii="Times New Roman" w:hAnsi="Times New Roman" w:eastAsia="黑体" w:cs="Times New Roman"/>
          <w:bCs/>
          <w:kern w:val="44"/>
          <w:sz w:val="36"/>
          <w:szCs w:val="48"/>
          <w:lang w:val="zh-CN" w:eastAsia="zh-CN" w:bidi="ar-SA"/>
        </w:rPr>
      </w:pPr>
      <w:r>
        <w:rPr>
          <w:rFonts w:hint="eastAsia" w:ascii="Times New Roman" w:hAnsi="Times New Roman" w:eastAsia="黑体" w:cs="Times New Roman"/>
          <w:bCs/>
          <w:kern w:val="44"/>
          <w:sz w:val="36"/>
          <w:szCs w:val="48"/>
          <w:lang w:val="en-US" w:eastAsia="zh-CN" w:bidi="ar-SA"/>
        </w:rPr>
        <w:t>编制</w:t>
      </w:r>
      <w:r>
        <w:rPr>
          <w:rFonts w:ascii="Times New Roman" w:hAnsi="Times New Roman" w:eastAsia="黑体" w:cs="Times New Roman"/>
          <w:bCs/>
          <w:kern w:val="44"/>
          <w:sz w:val="36"/>
          <w:szCs w:val="48"/>
          <w:lang w:val="zh-CN" w:eastAsia="zh-CN" w:bidi="ar-SA"/>
        </w:rPr>
        <w:t>依据</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本标准主要参照《内蒙古自治区文化和旅游发展专项资金管理办法》（内文旅办字〔2025〕89号）、《呼和浩特市大型活动及会展业管理办法》（呼政发〔2010〕30号）等政策性文件，并综合参考国内其他地区相关支出标准实践经验，结合对和林格尔县2023-2025年大型活动（以芍药文化旅游节为典型案例）实际支出数据的调研分析结果制定，是编制和审核县级大型活动项目预算的基本依据。</w:t>
      </w:r>
    </w:p>
    <w:p>
      <w:pPr>
        <w:widowControl w:val="0"/>
        <w:numPr>
          <w:ilvl w:val="0"/>
          <w:numId w:val="2"/>
        </w:numPr>
        <w:adjustRightInd w:val="0"/>
        <w:spacing w:before="120" w:after="60" w:line="500" w:lineRule="exact"/>
        <w:ind w:left="0" w:firstLine="720" w:firstLineChars="200"/>
        <w:jc w:val="left"/>
        <w:outlineLvl w:val="0"/>
        <w:rPr>
          <w:rFonts w:ascii="Times New Roman" w:hAnsi="Times New Roman" w:eastAsia="黑体" w:cs="Times New Roman"/>
          <w:bCs/>
          <w:kern w:val="44"/>
          <w:sz w:val="36"/>
          <w:szCs w:val="48"/>
          <w:lang w:val="zh-CN" w:eastAsia="zh-CN" w:bidi="ar-SA"/>
        </w:rPr>
      </w:pPr>
      <w:r>
        <w:rPr>
          <w:rFonts w:ascii="Times New Roman" w:hAnsi="Times New Roman" w:eastAsia="黑体" w:cs="Times New Roman"/>
          <w:bCs/>
          <w:kern w:val="44"/>
          <w:sz w:val="36"/>
          <w:szCs w:val="48"/>
          <w:lang w:val="zh-CN" w:eastAsia="zh-CN" w:bidi="ar-SA"/>
        </w:rPr>
        <w:t>支出标准</w:t>
      </w:r>
    </w:p>
    <w:p>
      <w:pPr>
        <w:keepNext/>
        <w:keepLines/>
        <w:widowControl w:val="0"/>
        <w:numPr>
          <w:ilvl w:val="1"/>
          <w:numId w:val="2"/>
        </w:numPr>
        <w:adjustRightInd w:val="0"/>
        <w:spacing w:before="120" w:after="60" w:line="500" w:lineRule="exact"/>
        <w:ind w:left="0" w:firstLine="642" w:firstLineChars="200"/>
        <w:jc w:val="both"/>
        <w:outlineLvl w:val="1"/>
        <w:rPr>
          <w:rFonts w:hint="eastAsia" w:ascii="楷体_GB2312" w:hAnsi="楷体_GB2312" w:eastAsia="楷体_GB2312" w:cs="楷体_GB2312"/>
          <w:b/>
          <w:bCs/>
          <w:kern w:val="0"/>
          <w:sz w:val="32"/>
          <w:szCs w:val="36"/>
          <w:lang w:val="zh-CN" w:eastAsia="zh-CN" w:bidi="ar-SA"/>
        </w:rPr>
      </w:pPr>
      <w:r>
        <w:rPr>
          <w:rFonts w:hint="eastAsia" w:ascii="楷体_GB2312" w:hAnsi="楷体_GB2312" w:eastAsia="楷体_GB2312" w:cs="楷体_GB2312"/>
          <w:b/>
          <w:bCs/>
          <w:kern w:val="0"/>
          <w:sz w:val="32"/>
          <w:szCs w:val="36"/>
          <w:lang w:val="zh-CN" w:eastAsia="zh-CN" w:bidi="ar-SA"/>
        </w:rPr>
        <w:t>项目实施内容与预算构成对应关系</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大型活动的组织实施主要包含以下七方面核心内容，每项内容对应具体的预算支出项目，共同构成项目总预算。具体对应关系如下表所示：</w:t>
      </w:r>
    </w:p>
    <w:p>
      <w:pPr>
        <w:widowControl w:val="0"/>
        <w:spacing w:before="60" w:after="60"/>
        <w:jc w:val="center"/>
        <w:rPr>
          <w:rFonts w:ascii="Times New Roman" w:hAnsi="Times New Roman" w:eastAsia="仿宋_GB2312" w:cs="Times New Roman"/>
          <w:b/>
          <w:kern w:val="0"/>
          <w:sz w:val="28"/>
          <w:szCs w:val="32"/>
          <w:lang w:val="en-US" w:eastAsia="zh-CN" w:bidi="ar-SA"/>
        </w:rPr>
      </w:pPr>
      <w:r>
        <w:rPr>
          <w:rFonts w:ascii="Times New Roman" w:hAnsi="Times New Roman" w:eastAsia="仿宋_GB2312" w:cs="Times New Roman"/>
          <w:b/>
          <w:kern w:val="0"/>
          <w:sz w:val="28"/>
          <w:szCs w:val="32"/>
          <w:lang w:val="en-US" w:eastAsia="zh-CN" w:bidi="ar-SA"/>
        </w:rPr>
        <w:t xml:space="preserve">表3-1 </w:t>
      </w:r>
      <w:r>
        <w:rPr>
          <w:rFonts w:hint="eastAsia" w:ascii="Times New Roman" w:hAnsi="Times New Roman" w:eastAsia="仿宋_GB2312" w:cs="Times New Roman"/>
          <w:b/>
          <w:kern w:val="0"/>
          <w:sz w:val="28"/>
          <w:szCs w:val="32"/>
          <w:lang w:val="en-US" w:eastAsia="zh-CN" w:bidi="ar-SA"/>
        </w:rPr>
        <w:t xml:space="preserve"> </w:t>
      </w:r>
      <w:r>
        <w:rPr>
          <w:rFonts w:ascii="Times New Roman" w:hAnsi="Times New Roman" w:eastAsia="仿宋_GB2312" w:cs="Times New Roman"/>
          <w:b/>
          <w:kern w:val="0"/>
          <w:sz w:val="28"/>
          <w:szCs w:val="32"/>
          <w:lang w:val="en-US" w:eastAsia="zh-CN" w:bidi="ar-SA"/>
        </w:rPr>
        <w:t>大型活动项目实施内容与预算构成对应表</w:t>
      </w:r>
    </w:p>
    <w:tbl>
      <w:tblPr>
        <w:tblStyle w:val="18"/>
        <w:tblW w:w="0" w:type="auto"/>
        <w:tblInd w:w="0" w:type="dxa"/>
        <w:tblLayout w:type="fixed"/>
        <w:tblCellMar>
          <w:top w:w="0" w:type="dxa"/>
          <w:left w:w="108" w:type="dxa"/>
          <w:bottom w:w="0" w:type="dxa"/>
          <w:right w:w="108" w:type="dxa"/>
        </w:tblCellMar>
      </w:tblPr>
      <w:tblGrid>
        <w:gridCol w:w="846"/>
        <w:gridCol w:w="1673"/>
        <w:gridCol w:w="1785"/>
        <w:gridCol w:w="4733"/>
      </w:tblGrid>
      <w:tr>
        <w:tblPrEx>
          <w:tblCellMar>
            <w:top w:w="0" w:type="dxa"/>
            <w:left w:w="108" w:type="dxa"/>
            <w:bottom w:w="0" w:type="dxa"/>
            <w:right w:w="108" w:type="dxa"/>
          </w:tblCellMar>
        </w:tblPrEx>
        <w:trPr>
          <w:trHeight w:val="648" w:hRule="atLeast"/>
        </w:trPr>
        <w:tc>
          <w:tcPr>
            <w:tcW w:w="846" w:type="dxa"/>
            <w:tcBorders>
              <w:top w:val="single" w:color="auto" w:sz="4" w:space="0"/>
              <w:left w:val="single" w:color="auto" w:sz="4" w:space="0"/>
              <w:bottom w:val="single" w:color="auto" w:sz="4" w:space="0"/>
              <w:right w:val="single" w:color="auto" w:sz="4" w:space="0"/>
            </w:tcBorders>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序号</w:t>
            </w:r>
          </w:p>
        </w:tc>
        <w:tc>
          <w:tcPr>
            <w:tcW w:w="1673" w:type="dxa"/>
            <w:tcBorders>
              <w:top w:val="single" w:color="auto" w:sz="4" w:space="0"/>
              <w:left w:val="nil"/>
              <w:bottom w:val="single" w:color="auto" w:sz="4" w:space="0"/>
              <w:right w:val="single" w:color="auto" w:sz="4" w:space="0"/>
            </w:tcBorders>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eastAsia"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项目实施</w:t>
            </w:r>
          </w:p>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内容分类</w:t>
            </w:r>
          </w:p>
        </w:tc>
        <w:tc>
          <w:tcPr>
            <w:tcW w:w="1785" w:type="dxa"/>
            <w:tcBorders>
              <w:top w:val="single" w:color="auto" w:sz="4" w:space="0"/>
              <w:left w:val="nil"/>
              <w:bottom w:val="single" w:color="auto" w:sz="4" w:space="0"/>
              <w:right w:val="single" w:color="auto" w:sz="4" w:space="0"/>
            </w:tcBorders>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eastAsia"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对应的预算</w:t>
            </w:r>
          </w:p>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构成项目</w:t>
            </w:r>
          </w:p>
        </w:tc>
        <w:tc>
          <w:tcPr>
            <w:tcW w:w="4733" w:type="dxa"/>
            <w:tcBorders>
              <w:top w:val="single" w:color="auto" w:sz="4" w:space="0"/>
              <w:left w:val="nil"/>
              <w:bottom w:val="single" w:color="auto" w:sz="4" w:space="0"/>
              <w:right w:val="single" w:color="auto" w:sz="4" w:space="0"/>
            </w:tcBorders>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主要内容说明</w:t>
            </w:r>
          </w:p>
        </w:tc>
      </w:tr>
      <w:tr>
        <w:tblPrEx>
          <w:tblCellMar>
            <w:top w:w="0" w:type="dxa"/>
            <w:left w:w="108" w:type="dxa"/>
            <w:bottom w:w="0" w:type="dxa"/>
            <w:right w:w="108" w:type="dxa"/>
          </w:tblCellMar>
        </w:tblPrEx>
        <w:trPr>
          <w:trHeight w:val="648" w:hRule="atLeast"/>
        </w:trPr>
        <w:tc>
          <w:tcPr>
            <w:tcW w:w="8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1</w:t>
            </w:r>
          </w:p>
        </w:tc>
        <w:tc>
          <w:tcPr>
            <w:tcW w:w="167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eastAsia"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策划与创意</w:t>
            </w:r>
          </w:p>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设计</w:t>
            </w:r>
          </w:p>
        </w:tc>
        <w:tc>
          <w:tcPr>
            <w:tcW w:w="178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策划设计费</w:t>
            </w:r>
          </w:p>
        </w:tc>
        <w:tc>
          <w:tcPr>
            <w:tcW w:w="473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包含活动整体策划、主视觉设计、展区/舞台效果图设计、宣传片脚本、会务资料（手册、证件等）平面设计等智力成果产出费用。</w:t>
            </w:r>
          </w:p>
        </w:tc>
      </w:tr>
      <w:tr>
        <w:tblPrEx>
          <w:tblCellMar>
            <w:top w:w="0" w:type="dxa"/>
            <w:left w:w="108" w:type="dxa"/>
            <w:bottom w:w="0" w:type="dxa"/>
            <w:right w:w="108" w:type="dxa"/>
          </w:tblCellMar>
        </w:tblPrEx>
        <w:trPr>
          <w:trHeight w:val="864" w:hRule="atLeast"/>
        </w:trPr>
        <w:tc>
          <w:tcPr>
            <w:tcW w:w="8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2</w:t>
            </w:r>
          </w:p>
        </w:tc>
        <w:tc>
          <w:tcPr>
            <w:tcW w:w="167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eastAsia"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舞美搭建与</w:t>
            </w:r>
          </w:p>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展陈布置</w:t>
            </w:r>
          </w:p>
        </w:tc>
        <w:tc>
          <w:tcPr>
            <w:tcW w:w="178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舞美展陈费</w:t>
            </w:r>
          </w:p>
        </w:tc>
        <w:tc>
          <w:tcPr>
            <w:tcW w:w="473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包含舞台与基础结构搭建、定制造型与特殊场景制作、视听设备（灯光、音响、LED屏等）租赁、标准/特装展位搭建，以及相关的专用人工、运输及现场杂费。</w:t>
            </w:r>
          </w:p>
        </w:tc>
      </w:tr>
      <w:tr>
        <w:tblPrEx>
          <w:tblCellMar>
            <w:top w:w="0" w:type="dxa"/>
            <w:left w:w="108" w:type="dxa"/>
            <w:bottom w:w="0" w:type="dxa"/>
            <w:right w:w="108" w:type="dxa"/>
          </w:tblCellMar>
        </w:tblPrEx>
        <w:trPr>
          <w:trHeight w:val="648" w:hRule="atLeast"/>
        </w:trPr>
        <w:tc>
          <w:tcPr>
            <w:tcW w:w="8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3</w:t>
            </w:r>
          </w:p>
        </w:tc>
        <w:tc>
          <w:tcPr>
            <w:tcW w:w="167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活动物料制作与准备</w:t>
            </w:r>
          </w:p>
        </w:tc>
        <w:tc>
          <w:tcPr>
            <w:tcW w:w="178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活动物料费</w:t>
            </w:r>
          </w:p>
        </w:tc>
        <w:tc>
          <w:tcPr>
            <w:tcW w:w="473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包含活动所需的各类印刷品（邀请函、手册、门票等）、证件、定制打卡装置或氛围营造道具，以及其它低值易耗物料。</w:t>
            </w:r>
          </w:p>
        </w:tc>
      </w:tr>
      <w:tr>
        <w:tblPrEx>
          <w:tblCellMar>
            <w:top w:w="0" w:type="dxa"/>
            <w:left w:w="108" w:type="dxa"/>
            <w:bottom w:w="0" w:type="dxa"/>
            <w:right w:w="108" w:type="dxa"/>
          </w:tblCellMar>
        </w:tblPrEx>
        <w:trPr>
          <w:trHeight w:val="648" w:hRule="atLeast"/>
        </w:trPr>
        <w:tc>
          <w:tcPr>
            <w:tcW w:w="8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4</w:t>
            </w:r>
          </w:p>
        </w:tc>
        <w:tc>
          <w:tcPr>
            <w:tcW w:w="167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eastAsia"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演出与后勤</w:t>
            </w:r>
          </w:p>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人员服务</w:t>
            </w:r>
          </w:p>
        </w:tc>
        <w:tc>
          <w:tcPr>
            <w:tcW w:w="178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人员服务费</w:t>
            </w:r>
          </w:p>
        </w:tc>
        <w:tc>
          <w:tcPr>
            <w:tcW w:w="473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包含聘请的演艺人员（群众演员、专业演员、特约嘉宾等）、主持人、礼仪，以及现场保洁、安保等后勤保障人员的劳务费用。</w:t>
            </w:r>
          </w:p>
        </w:tc>
      </w:tr>
      <w:tr>
        <w:tblPrEx>
          <w:tblCellMar>
            <w:top w:w="0" w:type="dxa"/>
            <w:left w:w="108" w:type="dxa"/>
            <w:bottom w:w="0" w:type="dxa"/>
            <w:right w:w="108" w:type="dxa"/>
          </w:tblCellMar>
        </w:tblPrEx>
        <w:trPr>
          <w:trHeight w:val="648" w:hRule="atLeast"/>
        </w:trPr>
        <w:tc>
          <w:tcPr>
            <w:tcW w:w="8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5</w:t>
            </w:r>
          </w:p>
        </w:tc>
        <w:tc>
          <w:tcPr>
            <w:tcW w:w="167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eastAsia"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宣传推广与</w:t>
            </w:r>
          </w:p>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媒体服务</w:t>
            </w:r>
          </w:p>
        </w:tc>
        <w:tc>
          <w:tcPr>
            <w:tcW w:w="178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媒体宣传费</w:t>
            </w:r>
          </w:p>
        </w:tc>
        <w:tc>
          <w:tcPr>
            <w:tcW w:w="473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包含活动相关的摄影摄像、视频直播、宣传片制作、媒体广告投放等费用。</w:t>
            </w:r>
          </w:p>
        </w:tc>
      </w:tr>
      <w:tr>
        <w:tblPrEx>
          <w:tblCellMar>
            <w:top w:w="0" w:type="dxa"/>
            <w:left w:w="108" w:type="dxa"/>
            <w:bottom w:w="0" w:type="dxa"/>
            <w:right w:w="108" w:type="dxa"/>
          </w:tblCellMar>
        </w:tblPrEx>
        <w:trPr>
          <w:trHeight w:val="648" w:hRule="atLeast"/>
        </w:trPr>
        <w:tc>
          <w:tcPr>
            <w:tcW w:w="8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6</w:t>
            </w:r>
          </w:p>
        </w:tc>
        <w:tc>
          <w:tcPr>
            <w:tcW w:w="167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eastAsia"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嘉宾与演职</w:t>
            </w:r>
          </w:p>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人员保障</w:t>
            </w:r>
          </w:p>
        </w:tc>
        <w:tc>
          <w:tcPr>
            <w:tcW w:w="178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食宿费</w:t>
            </w:r>
          </w:p>
        </w:tc>
        <w:tc>
          <w:tcPr>
            <w:tcW w:w="473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包含为邀请的嘉宾、外来演职人员等安排的住宿费及伙食补助。</w:t>
            </w:r>
          </w:p>
        </w:tc>
      </w:tr>
      <w:tr>
        <w:tblPrEx>
          <w:tblCellMar>
            <w:top w:w="0" w:type="dxa"/>
            <w:left w:w="108" w:type="dxa"/>
            <w:bottom w:w="0" w:type="dxa"/>
            <w:right w:w="108" w:type="dxa"/>
          </w:tblCellMar>
        </w:tblPrEx>
        <w:trPr>
          <w:trHeight w:val="648" w:hRule="atLeast"/>
        </w:trPr>
        <w:tc>
          <w:tcPr>
            <w:tcW w:w="84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7</w:t>
            </w:r>
          </w:p>
        </w:tc>
        <w:tc>
          <w:tcPr>
            <w:tcW w:w="167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eastAsia"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其他配套与</w:t>
            </w:r>
          </w:p>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应急保障</w:t>
            </w:r>
          </w:p>
        </w:tc>
        <w:tc>
          <w:tcPr>
            <w:tcW w:w="178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其他费用</w:t>
            </w:r>
          </w:p>
        </w:tc>
        <w:tc>
          <w:tcPr>
            <w:tcW w:w="4733"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包含场地租赁费、水电动力费、活动专用车辆租赁费、保险以及按比例计提的不可预见费用等。</w:t>
            </w:r>
          </w:p>
        </w:tc>
      </w:tr>
    </w:tbl>
    <w:p>
      <w:pPr>
        <w:keepNext/>
        <w:keepLines/>
        <w:widowControl w:val="0"/>
        <w:numPr>
          <w:ilvl w:val="1"/>
          <w:numId w:val="2"/>
        </w:numPr>
        <w:adjustRightInd w:val="0"/>
        <w:spacing w:before="120" w:after="60" w:line="500" w:lineRule="exact"/>
        <w:ind w:left="0" w:firstLine="642" w:firstLineChars="200"/>
        <w:jc w:val="both"/>
        <w:outlineLvl w:val="1"/>
        <w:rPr>
          <w:rFonts w:hint="eastAsia" w:ascii="楷体_GB2312" w:hAnsi="楷体_GB2312" w:eastAsia="楷体_GB2312" w:cs="楷体_GB2312"/>
          <w:b/>
          <w:bCs/>
          <w:kern w:val="0"/>
          <w:sz w:val="32"/>
          <w:szCs w:val="36"/>
          <w:lang w:val="zh-CN" w:eastAsia="zh-CN" w:bidi="ar-SA"/>
        </w:rPr>
      </w:pPr>
      <w:r>
        <w:rPr>
          <w:rFonts w:hint="eastAsia" w:ascii="楷体_GB2312" w:hAnsi="楷体_GB2312" w:eastAsia="楷体_GB2312" w:cs="楷体_GB2312"/>
          <w:b/>
          <w:bCs/>
          <w:kern w:val="0"/>
          <w:sz w:val="32"/>
          <w:szCs w:val="36"/>
          <w:lang w:val="zh-CN" w:eastAsia="zh-CN" w:bidi="ar-SA"/>
        </w:rPr>
        <w:t>项目预算构成及标准</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根据相关政策要求结合市场行情形成的和林格尔县大型活动费通用支出标准调研报告，大型活动支出标准具体详见下表。</w:t>
      </w:r>
    </w:p>
    <w:p>
      <w:pPr>
        <w:keepNext/>
        <w:keepLines/>
        <w:widowControl w:val="0"/>
        <w:numPr>
          <w:ilvl w:val="2"/>
          <w:numId w:val="2"/>
        </w:numPr>
        <w:adjustRightInd w:val="0"/>
        <w:spacing w:before="120" w:after="60" w:line="500" w:lineRule="exact"/>
        <w:ind w:left="0" w:firstLine="642" w:firstLineChars="200"/>
        <w:jc w:val="both"/>
        <w:outlineLvl w:val="2"/>
        <w:rPr>
          <w:rFonts w:ascii="Times New Roman" w:hAnsi="Times New Roman" w:eastAsia="仿宋_GB2312" w:cs="Times New Roman"/>
          <w:b/>
          <w:bCs/>
          <w:kern w:val="0"/>
          <w:sz w:val="32"/>
          <w:szCs w:val="36"/>
          <w:lang w:val="zh-CN" w:eastAsia="zh-CN" w:bidi="ar-SA"/>
        </w:rPr>
      </w:pPr>
      <w:r>
        <w:rPr>
          <w:rFonts w:hint="eastAsia" w:ascii="Times New Roman" w:hAnsi="Times New Roman" w:eastAsia="仿宋_GB2312" w:cs="Times New Roman"/>
          <w:b/>
          <w:bCs/>
          <w:kern w:val="0"/>
          <w:sz w:val="32"/>
          <w:szCs w:val="36"/>
          <w:lang w:val="zh-CN" w:eastAsia="zh-CN" w:bidi="ar-SA"/>
        </w:rPr>
        <w:t>策划设计费</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指活动整体策划、主视觉设计、展区设计、宣传片脚本、会务资料设计等智力成果产出费用，采用总额控制与单项限制并行标准。</w:t>
      </w:r>
    </w:p>
    <w:p>
      <w:pPr>
        <w:widowControl w:val="0"/>
        <w:spacing w:before="60" w:after="60"/>
        <w:jc w:val="center"/>
        <w:rPr>
          <w:rFonts w:ascii="Times New Roman" w:hAnsi="Times New Roman" w:eastAsia="仿宋_GB2312" w:cs="Times New Roman"/>
          <w:b/>
          <w:kern w:val="0"/>
          <w:sz w:val="28"/>
          <w:szCs w:val="32"/>
          <w:lang w:val="en-US" w:eastAsia="zh-CN" w:bidi="ar-SA"/>
        </w:rPr>
      </w:pPr>
      <w:r>
        <w:rPr>
          <w:rFonts w:hint="eastAsia" w:ascii="Times New Roman" w:hAnsi="Times New Roman" w:eastAsia="仿宋_GB2312" w:cs="Times New Roman"/>
          <w:b/>
          <w:kern w:val="0"/>
          <w:sz w:val="28"/>
          <w:szCs w:val="32"/>
          <w:lang w:val="en-US" w:eastAsia="zh-CN" w:bidi="ar-SA"/>
        </w:rPr>
        <w:t>表3-2  和林格尔县大型活动费策划设计费支出标准建</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2656"/>
        <w:gridCol w:w="3679"/>
        <w:gridCol w:w="1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741" w:type="dxa"/>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序号</w:t>
            </w:r>
          </w:p>
        </w:tc>
        <w:tc>
          <w:tcPr>
            <w:tcW w:w="2656" w:type="dxa"/>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项目</w:t>
            </w:r>
          </w:p>
        </w:tc>
        <w:tc>
          <w:tcPr>
            <w:tcW w:w="3679" w:type="dxa"/>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计算方式与标准</w:t>
            </w:r>
          </w:p>
        </w:tc>
        <w:tc>
          <w:tcPr>
            <w:tcW w:w="1815" w:type="dxa"/>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741"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1</w:t>
            </w:r>
          </w:p>
        </w:tc>
        <w:tc>
          <w:tcPr>
            <w:tcW w:w="2656"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整体策划与主视觉设计</w:t>
            </w:r>
          </w:p>
        </w:tc>
        <w:tc>
          <w:tcPr>
            <w:tcW w:w="3679"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按活动总费用的1%-3%控制，且单场活动合计不超过40,000元。</w:t>
            </w:r>
          </w:p>
        </w:tc>
        <w:tc>
          <w:tcPr>
            <w:tcW w:w="1815"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default" w:ascii="Times New Roman" w:hAnsi="Times New Roman" w:eastAsia="仿宋_GB2312" w:cs="宋体"/>
                <w:bCs/>
                <w:color w:val="000000"/>
                <w:kern w:val="0"/>
                <w:sz w:val="24"/>
                <w:szCs w:val="24"/>
                <w:lang w:val="zh-CN" w:eastAsia="zh-CN" w:bidi="ar-SA"/>
              </w:rPr>
              <w:t>总</w:t>
            </w:r>
            <w:r>
              <w:rPr>
                <w:rFonts w:hint="eastAsia" w:ascii="Times New Roman" w:hAnsi="Times New Roman" w:eastAsia="仿宋_GB2312" w:cs="宋体"/>
                <w:bCs/>
                <w:color w:val="000000"/>
                <w:kern w:val="0"/>
                <w:sz w:val="24"/>
                <w:szCs w:val="24"/>
                <w:lang w:val="zh-CN" w:eastAsia="zh-CN" w:bidi="ar-SA"/>
              </w:rPr>
              <w:t>额控制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741"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2</w:t>
            </w:r>
          </w:p>
        </w:tc>
        <w:tc>
          <w:tcPr>
            <w:tcW w:w="2656"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展区/舞台效果图设计</w:t>
            </w:r>
          </w:p>
        </w:tc>
        <w:tc>
          <w:tcPr>
            <w:tcW w:w="3679"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w:t>
            </w:r>
            <w:r>
              <w:rPr>
                <w:rFonts w:hint="default" w:ascii="Times New Roman" w:hAnsi="Times New Roman" w:eastAsia="仿宋_GB2312" w:cs="宋体"/>
                <w:bCs/>
                <w:color w:val="000000"/>
                <w:kern w:val="0"/>
                <w:sz w:val="24"/>
                <w:szCs w:val="24"/>
                <w:lang w:val="zh-CN" w:eastAsia="zh-CN" w:bidi="ar-SA"/>
              </w:rPr>
              <w:t>15,000元/项</w:t>
            </w:r>
          </w:p>
        </w:tc>
        <w:tc>
          <w:tcPr>
            <w:tcW w:w="1815"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default" w:ascii="Times New Roman" w:hAnsi="Times New Roman" w:eastAsia="仿宋_GB2312" w:cs="宋体"/>
                <w:bCs/>
                <w:color w:val="000000"/>
                <w:kern w:val="0"/>
                <w:sz w:val="24"/>
                <w:szCs w:val="24"/>
                <w:lang w:val="zh-CN" w:eastAsia="zh-CN" w:bidi="ar-SA"/>
              </w:rPr>
              <w:t>单项限额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741"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3</w:t>
            </w:r>
          </w:p>
        </w:tc>
        <w:tc>
          <w:tcPr>
            <w:tcW w:w="2656"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宣传片分镜头脚本</w:t>
            </w:r>
          </w:p>
        </w:tc>
        <w:tc>
          <w:tcPr>
            <w:tcW w:w="3679"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w:t>
            </w:r>
            <w:r>
              <w:rPr>
                <w:rFonts w:hint="default" w:ascii="Times New Roman" w:hAnsi="Times New Roman" w:eastAsia="仿宋_GB2312" w:cs="宋体"/>
                <w:bCs/>
                <w:color w:val="000000"/>
                <w:kern w:val="0"/>
                <w:sz w:val="24"/>
                <w:szCs w:val="24"/>
                <w:lang w:val="zh-CN" w:eastAsia="zh-CN" w:bidi="ar-SA"/>
              </w:rPr>
              <w:t>2,500元/项</w:t>
            </w:r>
          </w:p>
        </w:tc>
        <w:tc>
          <w:tcPr>
            <w:tcW w:w="1815"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default" w:ascii="Times New Roman" w:hAnsi="Times New Roman" w:eastAsia="仿宋_GB2312" w:cs="宋体"/>
                <w:bCs/>
                <w:color w:val="000000"/>
                <w:kern w:val="0"/>
                <w:sz w:val="24"/>
                <w:szCs w:val="24"/>
                <w:lang w:val="zh-CN" w:eastAsia="zh-CN" w:bidi="ar-SA"/>
              </w:rPr>
              <w:t>单项限额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741"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4</w:t>
            </w:r>
          </w:p>
        </w:tc>
        <w:tc>
          <w:tcPr>
            <w:tcW w:w="2656"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手册、证件等平面设计</w:t>
            </w:r>
          </w:p>
        </w:tc>
        <w:tc>
          <w:tcPr>
            <w:tcW w:w="3679"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w:t>
            </w:r>
            <w:r>
              <w:rPr>
                <w:rFonts w:hint="default" w:ascii="Times New Roman" w:hAnsi="Times New Roman" w:eastAsia="仿宋_GB2312" w:cs="宋体"/>
                <w:bCs/>
                <w:color w:val="000000"/>
                <w:kern w:val="0"/>
                <w:sz w:val="24"/>
                <w:szCs w:val="24"/>
                <w:lang w:val="zh-CN" w:eastAsia="zh-CN" w:bidi="ar-SA"/>
              </w:rPr>
              <w:t>2,500元/项</w:t>
            </w:r>
          </w:p>
        </w:tc>
        <w:tc>
          <w:tcPr>
            <w:tcW w:w="1815"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default" w:ascii="Times New Roman" w:hAnsi="Times New Roman" w:eastAsia="仿宋_GB2312" w:cs="宋体"/>
                <w:bCs/>
                <w:color w:val="000000"/>
                <w:kern w:val="0"/>
                <w:sz w:val="24"/>
                <w:szCs w:val="24"/>
                <w:lang w:val="zh-CN" w:eastAsia="zh-CN" w:bidi="ar-SA"/>
              </w:rPr>
              <w:t>单项限额</w:t>
            </w:r>
          </w:p>
        </w:tc>
      </w:tr>
    </w:tbl>
    <w:p>
      <w:pPr>
        <w:keepNext/>
        <w:keepLines/>
        <w:widowControl w:val="0"/>
        <w:numPr>
          <w:ilvl w:val="2"/>
          <w:numId w:val="2"/>
        </w:numPr>
        <w:adjustRightInd w:val="0"/>
        <w:spacing w:before="120" w:after="60" w:line="500" w:lineRule="exact"/>
        <w:ind w:left="0" w:firstLine="642" w:firstLineChars="200"/>
        <w:jc w:val="both"/>
        <w:outlineLvl w:val="2"/>
        <w:rPr>
          <w:rFonts w:ascii="Times New Roman" w:hAnsi="Times New Roman" w:eastAsia="仿宋_GB2312" w:cs="Times New Roman"/>
          <w:b/>
          <w:bCs/>
          <w:kern w:val="0"/>
          <w:sz w:val="32"/>
          <w:szCs w:val="36"/>
          <w:lang w:val="zh-CN" w:eastAsia="zh-CN" w:bidi="ar-SA"/>
        </w:rPr>
      </w:pPr>
      <w:r>
        <w:rPr>
          <w:rFonts w:hint="eastAsia" w:ascii="Times New Roman" w:hAnsi="Times New Roman" w:eastAsia="仿宋_GB2312" w:cs="Times New Roman"/>
          <w:b/>
          <w:bCs/>
          <w:kern w:val="0"/>
          <w:sz w:val="32"/>
          <w:szCs w:val="36"/>
          <w:lang w:val="zh-CN" w:eastAsia="zh-CN" w:bidi="ar-SA"/>
        </w:rPr>
        <w:t>舞美展陈费</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所有舞美展陈项目均需遵循“先设计、后预算、再采购”的原则。预算编制必须基于详细的设计方案及工程量清单，严禁无明细的打包报价或事后据实报销。具体费用分类与具体标准如下：</w:t>
      </w:r>
    </w:p>
    <w:p>
      <w:pPr>
        <w:keepNext/>
        <w:keepLines/>
        <w:widowControl w:val="0"/>
        <w:numPr>
          <w:ilvl w:val="3"/>
          <w:numId w:val="2"/>
        </w:numPr>
        <w:adjustRightInd w:val="0"/>
        <w:spacing w:before="120" w:after="60" w:line="500" w:lineRule="exact"/>
        <w:ind w:left="0" w:firstLine="642" w:firstLineChars="200"/>
        <w:jc w:val="both"/>
        <w:outlineLvl w:val="3"/>
        <w:rPr>
          <w:rFonts w:ascii="Times New Roman" w:hAnsi="Times New Roman" w:eastAsia="仿宋_GB2312" w:cs="Times New Roman"/>
          <w:b/>
          <w:bCs/>
          <w:kern w:val="0"/>
          <w:sz w:val="32"/>
          <w:szCs w:val="32"/>
          <w:lang w:val="zh-CN" w:eastAsia="zh-CN" w:bidi="ar-SA"/>
        </w:rPr>
      </w:pPr>
      <w:r>
        <w:rPr>
          <w:rFonts w:hint="eastAsia" w:ascii="Times New Roman" w:hAnsi="Times New Roman" w:eastAsia="仿宋_GB2312" w:cs="Times New Roman"/>
          <w:b/>
          <w:bCs/>
          <w:kern w:val="0"/>
          <w:sz w:val="32"/>
          <w:szCs w:val="32"/>
          <w:lang w:val="zh-CN" w:eastAsia="zh-CN" w:bidi="ar-SA"/>
        </w:rPr>
        <w:t>舞台与基础结构搭建费</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此类费用按“分项工程量×综合单价”的方式计算，综合单价包含材料、基础人工、简单组装及常规运输费用。</w:t>
      </w:r>
    </w:p>
    <w:p>
      <w:pPr>
        <w:widowControl w:val="0"/>
        <w:spacing w:before="60" w:after="60"/>
        <w:jc w:val="center"/>
        <w:rPr>
          <w:rFonts w:hint="eastAsia" w:ascii="Times New Roman" w:hAnsi="Times New Roman" w:eastAsia="仿宋_GB2312" w:cs="Times New Roman"/>
          <w:b/>
          <w:kern w:val="0"/>
          <w:sz w:val="28"/>
          <w:szCs w:val="32"/>
          <w:lang w:val="en-US" w:eastAsia="zh-CN" w:bidi="ar-SA"/>
        </w:rPr>
      </w:pPr>
    </w:p>
    <w:p>
      <w:pPr>
        <w:widowControl w:val="0"/>
        <w:spacing w:before="60" w:after="60"/>
        <w:jc w:val="center"/>
        <w:rPr>
          <w:rFonts w:hint="eastAsia" w:ascii="Times New Roman" w:hAnsi="Times New Roman" w:eastAsia="仿宋_GB2312" w:cs="Times New Roman"/>
          <w:b/>
          <w:kern w:val="0"/>
          <w:sz w:val="28"/>
          <w:szCs w:val="32"/>
          <w:lang w:val="en-US" w:eastAsia="zh-CN" w:bidi="ar-SA"/>
        </w:rPr>
      </w:pPr>
    </w:p>
    <w:p>
      <w:pPr>
        <w:widowControl w:val="0"/>
        <w:spacing w:before="60" w:after="60"/>
        <w:jc w:val="center"/>
        <w:rPr>
          <w:rFonts w:hint="eastAsia" w:ascii="Times New Roman" w:hAnsi="Times New Roman" w:eastAsia="仿宋_GB2312" w:cs="Times New Roman"/>
          <w:b/>
          <w:kern w:val="0"/>
          <w:sz w:val="28"/>
          <w:szCs w:val="32"/>
          <w:lang w:val="en-US" w:eastAsia="zh-CN" w:bidi="ar-SA"/>
        </w:rPr>
      </w:pPr>
    </w:p>
    <w:p>
      <w:pPr>
        <w:widowControl w:val="0"/>
        <w:spacing w:before="60" w:after="60"/>
        <w:jc w:val="center"/>
        <w:rPr>
          <w:rFonts w:ascii="Times New Roman" w:hAnsi="Times New Roman" w:eastAsia="仿宋_GB2312" w:cs="Times New Roman"/>
          <w:b/>
          <w:kern w:val="0"/>
          <w:sz w:val="28"/>
          <w:szCs w:val="32"/>
          <w:lang w:val="en-US" w:eastAsia="zh-CN" w:bidi="ar-SA"/>
        </w:rPr>
      </w:pPr>
      <w:r>
        <w:rPr>
          <w:rFonts w:hint="eastAsia" w:ascii="Times New Roman" w:hAnsi="Times New Roman" w:eastAsia="仿宋_GB2312" w:cs="Times New Roman"/>
          <w:b/>
          <w:kern w:val="0"/>
          <w:sz w:val="28"/>
          <w:szCs w:val="32"/>
          <w:lang w:val="en-US" w:eastAsia="zh-CN" w:bidi="ar-SA"/>
        </w:rPr>
        <w:t>表3-3  和林格尔县大型活动费舞台与基础结构搭建费支出标准</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1786"/>
        <w:gridCol w:w="1111"/>
        <w:gridCol w:w="1210"/>
        <w:gridCol w:w="3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11" w:type="dxa"/>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序号</w:t>
            </w:r>
          </w:p>
        </w:tc>
        <w:tc>
          <w:tcPr>
            <w:tcW w:w="1786" w:type="dxa"/>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项目类型</w:t>
            </w:r>
          </w:p>
        </w:tc>
        <w:tc>
          <w:tcPr>
            <w:tcW w:w="1111" w:type="dxa"/>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eastAsia"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计量</w:t>
            </w:r>
          </w:p>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单位</w:t>
            </w:r>
          </w:p>
        </w:tc>
        <w:tc>
          <w:tcPr>
            <w:tcW w:w="1210" w:type="dxa"/>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综合单价上限</w:t>
            </w:r>
          </w:p>
        </w:tc>
        <w:tc>
          <w:tcPr>
            <w:tcW w:w="3994" w:type="dxa"/>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说明与界定标准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11"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1</w:t>
            </w:r>
          </w:p>
        </w:tc>
        <w:tc>
          <w:tcPr>
            <w:tcW w:w="1786"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普通基础舞台搭建</w:t>
            </w:r>
          </w:p>
        </w:tc>
        <w:tc>
          <w:tcPr>
            <w:tcW w:w="1111"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平方米</w:t>
            </w:r>
          </w:p>
        </w:tc>
        <w:tc>
          <w:tcPr>
            <w:tcW w:w="1210"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90元</w:t>
            </w:r>
          </w:p>
        </w:tc>
        <w:tc>
          <w:tcPr>
            <w:tcW w:w="3994" w:type="dxa"/>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指使用标准舞台板（如18mm夹板）、脚手架或铝合金桁架搭建的规则形状（矩形）平面舞台，高度在0.5米至1.2米之间。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11"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2</w:t>
            </w:r>
          </w:p>
        </w:tc>
        <w:tc>
          <w:tcPr>
            <w:tcW w:w="1786"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异形/多层结构舞台搭建</w:t>
            </w:r>
          </w:p>
        </w:tc>
        <w:tc>
          <w:tcPr>
            <w:tcW w:w="1111"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平方米</w:t>
            </w:r>
          </w:p>
        </w:tc>
        <w:tc>
          <w:tcPr>
            <w:tcW w:w="1210"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150元</w:t>
            </w:r>
          </w:p>
        </w:tc>
        <w:tc>
          <w:tcPr>
            <w:tcW w:w="3994" w:type="dxa"/>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指舞台主体结构存在弧形、多层、错层或高度超过1.5米的复杂结构。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811"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3</w:t>
            </w:r>
          </w:p>
        </w:tc>
        <w:tc>
          <w:tcPr>
            <w:tcW w:w="1786"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舞台面层特殊制作</w:t>
            </w:r>
          </w:p>
        </w:tc>
        <w:tc>
          <w:tcPr>
            <w:tcW w:w="1111"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平方米</w:t>
            </w:r>
          </w:p>
        </w:tc>
        <w:tc>
          <w:tcPr>
            <w:tcW w:w="1210"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420元</w:t>
            </w:r>
          </w:p>
        </w:tc>
        <w:tc>
          <w:tcPr>
            <w:tcW w:w="3994" w:type="dxa"/>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指在基础结构上进行的非标准装饰性面层制作，如定制台阶、曲面造型、特殊材质铺面等。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11"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4</w:t>
            </w:r>
          </w:p>
        </w:tc>
        <w:tc>
          <w:tcPr>
            <w:tcW w:w="1786"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特殊功能结构</w:t>
            </w:r>
          </w:p>
        </w:tc>
        <w:tc>
          <w:tcPr>
            <w:tcW w:w="1111"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项/套</w:t>
            </w:r>
          </w:p>
        </w:tc>
        <w:tc>
          <w:tcPr>
            <w:tcW w:w="1210"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5000元</w:t>
            </w:r>
          </w:p>
        </w:tc>
        <w:tc>
          <w:tcPr>
            <w:tcW w:w="3994" w:type="dxa"/>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指独立的、功能特殊的定制结构单元。预算需提供具体设计图。如鼓台。</w:t>
            </w:r>
          </w:p>
        </w:tc>
      </w:tr>
    </w:tbl>
    <w:p>
      <w:pPr>
        <w:keepNext/>
        <w:keepLines/>
        <w:widowControl w:val="0"/>
        <w:numPr>
          <w:ilvl w:val="3"/>
          <w:numId w:val="2"/>
        </w:numPr>
        <w:adjustRightInd w:val="0"/>
        <w:spacing w:before="120" w:after="60" w:line="500" w:lineRule="exact"/>
        <w:ind w:left="0" w:firstLine="642" w:firstLineChars="200"/>
        <w:jc w:val="both"/>
        <w:outlineLvl w:val="3"/>
        <w:rPr>
          <w:rFonts w:ascii="Times New Roman" w:hAnsi="Times New Roman" w:eastAsia="仿宋_GB2312" w:cs="Times New Roman"/>
          <w:b/>
          <w:bCs/>
          <w:kern w:val="0"/>
          <w:sz w:val="32"/>
          <w:szCs w:val="32"/>
          <w:lang w:val="zh-CN" w:eastAsia="zh-CN" w:bidi="ar-SA"/>
        </w:rPr>
      </w:pPr>
      <w:r>
        <w:rPr>
          <w:rFonts w:hint="eastAsia" w:ascii="Times New Roman" w:hAnsi="Times New Roman" w:eastAsia="仿宋_GB2312" w:cs="Times New Roman"/>
          <w:b/>
          <w:bCs/>
          <w:kern w:val="0"/>
          <w:sz w:val="32"/>
          <w:szCs w:val="32"/>
          <w:lang w:val="zh-CN" w:eastAsia="zh-CN" w:bidi="ar-SA"/>
        </w:rPr>
        <w:t>造型与特殊场景制作费</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凡脱离标准展位形式，涉及定制化、主题化、艺术化制作的单体造型、背景墙、入口拱门、大型道具等，均属此类。</w:t>
      </w:r>
    </w:p>
    <w:p>
      <w:pPr>
        <w:widowControl w:val="0"/>
        <w:spacing w:before="60" w:after="60"/>
        <w:jc w:val="center"/>
        <w:rPr>
          <w:rFonts w:ascii="Times New Roman" w:hAnsi="Times New Roman" w:eastAsia="仿宋_GB2312" w:cs="Times New Roman"/>
          <w:b/>
          <w:kern w:val="0"/>
          <w:sz w:val="28"/>
          <w:szCs w:val="32"/>
          <w:lang w:val="en-US" w:eastAsia="zh-CN" w:bidi="ar-SA"/>
        </w:rPr>
      </w:pPr>
      <w:r>
        <w:rPr>
          <w:rFonts w:hint="eastAsia" w:ascii="Times New Roman" w:hAnsi="Times New Roman" w:eastAsia="仿宋_GB2312" w:cs="Times New Roman"/>
          <w:b/>
          <w:kern w:val="0"/>
          <w:sz w:val="28"/>
          <w:szCs w:val="32"/>
          <w:lang w:val="en-US" w:eastAsia="zh-CN" w:bidi="ar-SA"/>
        </w:rPr>
        <w:t>表3-4  和林格尔县大型活动费造型与特殊场景制作费控制标准</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8"/>
        <w:gridCol w:w="1569"/>
        <w:gridCol w:w="1097"/>
        <w:gridCol w:w="1534"/>
        <w:gridCol w:w="4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18" w:type="dxa"/>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序号</w:t>
            </w:r>
          </w:p>
        </w:tc>
        <w:tc>
          <w:tcPr>
            <w:tcW w:w="1569" w:type="dxa"/>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项目类型</w:t>
            </w:r>
          </w:p>
        </w:tc>
        <w:tc>
          <w:tcPr>
            <w:tcW w:w="1097" w:type="dxa"/>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eastAsia"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计量</w:t>
            </w:r>
          </w:p>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单位</w:t>
            </w:r>
          </w:p>
        </w:tc>
        <w:tc>
          <w:tcPr>
            <w:tcW w:w="1534" w:type="dxa"/>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eastAsia"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综合单价</w:t>
            </w:r>
          </w:p>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上限</w:t>
            </w:r>
          </w:p>
        </w:tc>
        <w:tc>
          <w:tcPr>
            <w:tcW w:w="4003" w:type="dxa"/>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说明与界定标准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blHeader/>
        </w:trPr>
        <w:tc>
          <w:tcPr>
            <w:tcW w:w="718"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1</w:t>
            </w:r>
          </w:p>
        </w:tc>
        <w:tc>
          <w:tcPr>
            <w:tcW w:w="1569"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平面型造型</w:t>
            </w:r>
          </w:p>
        </w:tc>
        <w:tc>
          <w:tcPr>
            <w:tcW w:w="1097"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平方米</w:t>
            </w:r>
          </w:p>
        </w:tc>
        <w:tc>
          <w:tcPr>
            <w:tcW w:w="1534"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280元</w:t>
            </w:r>
          </w:p>
        </w:tc>
        <w:tc>
          <w:tcPr>
            <w:tcW w:w="4003"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主要为二维或浅三维造型，</w:t>
            </w:r>
            <w:r>
              <w:rPr>
                <w:rFonts w:hint="default" w:ascii="Times New Roman" w:hAnsi="Times New Roman" w:eastAsia="仿宋_GB2312" w:cs="宋体"/>
                <w:bCs/>
                <w:color w:val="000000"/>
                <w:kern w:val="0"/>
                <w:sz w:val="24"/>
                <w:szCs w:val="24"/>
                <w:lang w:val="zh-CN" w:eastAsia="zh-CN" w:bidi="ar-SA"/>
              </w:rPr>
              <w:t>如灯箱</w:t>
            </w:r>
            <w:r>
              <w:rPr>
                <w:rFonts w:hint="eastAsia" w:ascii="Times New Roman" w:hAnsi="Times New Roman" w:eastAsia="仿宋_GB2312" w:cs="宋体"/>
                <w:bCs/>
                <w:color w:val="000000"/>
                <w:kern w:val="0"/>
                <w:sz w:val="24"/>
                <w:szCs w:val="24"/>
                <w:lang w:val="zh-CN"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18"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2</w:t>
            </w:r>
          </w:p>
        </w:tc>
        <w:tc>
          <w:tcPr>
            <w:tcW w:w="1569"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中等复杂度立体造型</w:t>
            </w:r>
          </w:p>
        </w:tc>
        <w:tc>
          <w:tcPr>
            <w:tcW w:w="1097"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平方米</w:t>
            </w:r>
          </w:p>
        </w:tc>
        <w:tc>
          <w:tcPr>
            <w:tcW w:w="1534"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default" w:ascii="Times New Roman" w:hAnsi="Times New Roman" w:eastAsia="仿宋_GB2312" w:cs="宋体"/>
                <w:bCs/>
                <w:color w:val="000000"/>
                <w:kern w:val="0"/>
                <w:sz w:val="24"/>
                <w:szCs w:val="24"/>
                <w:lang w:val="zh-CN" w:eastAsia="zh-CN" w:bidi="ar-SA"/>
              </w:rPr>
              <w:t>380-450</w:t>
            </w:r>
            <w:r>
              <w:rPr>
                <w:rFonts w:hint="eastAsia" w:ascii="Times New Roman" w:hAnsi="Times New Roman" w:eastAsia="仿宋_GB2312" w:cs="宋体"/>
                <w:bCs/>
                <w:color w:val="000000"/>
                <w:kern w:val="0"/>
                <w:sz w:val="24"/>
                <w:szCs w:val="24"/>
                <w:lang w:val="zh-CN" w:eastAsia="zh-CN" w:bidi="ar-SA"/>
              </w:rPr>
              <w:t>元</w:t>
            </w:r>
          </w:p>
        </w:tc>
        <w:tc>
          <w:tcPr>
            <w:tcW w:w="4003"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具有明显三维结构，制作工艺中等。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18"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3</w:t>
            </w:r>
          </w:p>
        </w:tc>
        <w:tc>
          <w:tcPr>
            <w:tcW w:w="1569"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高复杂度定制艺术造型</w:t>
            </w:r>
          </w:p>
        </w:tc>
        <w:tc>
          <w:tcPr>
            <w:tcW w:w="1097"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项</w:t>
            </w:r>
          </w:p>
        </w:tc>
        <w:tc>
          <w:tcPr>
            <w:tcW w:w="1534"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需专项审批</w:t>
            </w:r>
          </w:p>
        </w:tc>
        <w:tc>
          <w:tcPr>
            <w:tcW w:w="4003" w:type="dxa"/>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指工艺复杂、材料特殊、需单独设计开模的大型艺术装置（如巨型主题雕塑）。需提交专项方案、效果图及三方报价进行事前绩效评估。</w:t>
            </w:r>
          </w:p>
        </w:tc>
      </w:tr>
    </w:tbl>
    <w:p>
      <w:pPr>
        <w:keepNext/>
        <w:keepLines/>
        <w:widowControl w:val="0"/>
        <w:numPr>
          <w:ilvl w:val="3"/>
          <w:numId w:val="2"/>
        </w:numPr>
        <w:adjustRightInd w:val="0"/>
        <w:spacing w:before="120" w:after="60" w:line="500" w:lineRule="exact"/>
        <w:ind w:left="0" w:firstLine="642" w:firstLineChars="200"/>
        <w:jc w:val="both"/>
        <w:outlineLvl w:val="3"/>
        <w:rPr>
          <w:rFonts w:ascii="Times New Roman" w:hAnsi="Times New Roman" w:eastAsia="仿宋_GB2312" w:cs="Times New Roman"/>
          <w:b/>
          <w:bCs/>
          <w:kern w:val="0"/>
          <w:sz w:val="32"/>
          <w:szCs w:val="32"/>
          <w:lang w:val="zh-CN" w:eastAsia="zh-CN" w:bidi="ar-SA"/>
        </w:rPr>
      </w:pPr>
      <w:r>
        <w:rPr>
          <w:rFonts w:hint="eastAsia" w:ascii="Times New Roman" w:hAnsi="Times New Roman" w:eastAsia="仿宋_GB2312" w:cs="Times New Roman"/>
          <w:b/>
          <w:bCs/>
          <w:kern w:val="0"/>
          <w:sz w:val="32"/>
          <w:szCs w:val="32"/>
          <w:lang w:val="zh-CN" w:eastAsia="zh-CN" w:bidi="ar-SA"/>
        </w:rPr>
        <w:t>视听设备租赁费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本部分建议实行“设备清单+市场询价备案”双控模式。主办方或承办方必须提供详细的设备清单（品牌、型号、数量、使用天数），并通过至少三家供应商询价，综合性评审选择性价比最优的产品，并将询价结果作为预算附件。</w:t>
      </w:r>
    </w:p>
    <w:p>
      <w:pPr>
        <w:widowControl w:val="0"/>
        <w:spacing w:before="60" w:after="60"/>
        <w:jc w:val="center"/>
        <w:rPr>
          <w:rFonts w:ascii="Times New Roman" w:hAnsi="Times New Roman" w:eastAsia="仿宋_GB2312" w:cs="Times New Roman"/>
          <w:b/>
          <w:kern w:val="0"/>
          <w:sz w:val="28"/>
          <w:szCs w:val="32"/>
          <w:lang w:val="en-US" w:eastAsia="zh-CN" w:bidi="ar-SA"/>
        </w:rPr>
      </w:pPr>
      <w:r>
        <w:rPr>
          <w:rFonts w:hint="eastAsia" w:ascii="Times New Roman" w:hAnsi="Times New Roman" w:eastAsia="仿宋_GB2312" w:cs="Times New Roman"/>
          <w:b/>
          <w:kern w:val="0"/>
          <w:sz w:val="28"/>
          <w:szCs w:val="32"/>
          <w:lang w:val="en-US" w:eastAsia="zh-CN" w:bidi="ar-SA"/>
        </w:rPr>
        <w:t>表3-5  和林格尔县大型活动费视听设备租赁费控制标准</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1806"/>
        <w:gridCol w:w="1251"/>
        <w:gridCol w:w="1869"/>
        <w:gridCol w:w="3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blHeader/>
        </w:trPr>
        <w:tc>
          <w:tcPr>
            <w:tcW w:w="811" w:type="dxa"/>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序号</w:t>
            </w:r>
          </w:p>
        </w:tc>
        <w:tc>
          <w:tcPr>
            <w:tcW w:w="1806" w:type="dxa"/>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项目类型</w:t>
            </w:r>
          </w:p>
        </w:tc>
        <w:tc>
          <w:tcPr>
            <w:tcW w:w="1251" w:type="dxa"/>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计量单位</w:t>
            </w:r>
          </w:p>
        </w:tc>
        <w:tc>
          <w:tcPr>
            <w:tcW w:w="1869" w:type="dxa"/>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支出标准区间</w:t>
            </w:r>
          </w:p>
        </w:tc>
        <w:tc>
          <w:tcPr>
            <w:tcW w:w="3225" w:type="dxa"/>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说明与界定标准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blHeader/>
        </w:trPr>
        <w:tc>
          <w:tcPr>
            <w:tcW w:w="811"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1</w:t>
            </w:r>
          </w:p>
        </w:tc>
        <w:tc>
          <w:tcPr>
            <w:tcW w:w="1806"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LED显示屏</w:t>
            </w:r>
          </w:p>
        </w:tc>
        <w:tc>
          <w:tcPr>
            <w:tcW w:w="1251"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平方米</w:t>
            </w:r>
          </w:p>
        </w:tc>
        <w:tc>
          <w:tcPr>
            <w:tcW w:w="1869"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300-350元/天</w:t>
            </w:r>
          </w:p>
        </w:tc>
        <w:tc>
          <w:tcPr>
            <w:tcW w:w="3225"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11"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2</w:t>
            </w:r>
          </w:p>
        </w:tc>
        <w:tc>
          <w:tcPr>
            <w:tcW w:w="1806"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主流灯光设备</w:t>
            </w:r>
          </w:p>
        </w:tc>
        <w:tc>
          <w:tcPr>
            <w:tcW w:w="1251"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台</w:t>
            </w:r>
          </w:p>
        </w:tc>
        <w:tc>
          <w:tcPr>
            <w:tcW w:w="1869"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30-180元/天</w:t>
            </w:r>
          </w:p>
        </w:tc>
        <w:tc>
          <w:tcPr>
            <w:tcW w:w="3225" w:type="dxa"/>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价格因品牌和功率、参数差异较大，需分类申报。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11"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3</w:t>
            </w:r>
          </w:p>
        </w:tc>
        <w:tc>
          <w:tcPr>
            <w:tcW w:w="1806"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专业音响系统（含调音台、音箱、话筒）</w:t>
            </w:r>
          </w:p>
        </w:tc>
        <w:tc>
          <w:tcPr>
            <w:tcW w:w="1251"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项</w:t>
            </w:r>
          </w:p>
        </w:tc>
        <w:tc>
          <w:tcPr>
            <w:tcW w:w="1869" w:type="dxa"/>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default" w:ascii="Times New Roman" w:hAnsi="Times New Roman" w:eastAsia="仿宋_GB2312" w:cs="宋体"/>
                <w:bCs/>
                <w:color w:val="000000"/>
                <w:kern w:val="0"/>
                <w:sz w:val="24"/>
                <w:szCs w:val="24"/>
                <w:lang w:val="zh-CN" w:eastAsia="zh-CN" w:bidi="ar-SA"/>
              </w:rPr>
              <w:t>打包报价</w:t>
            </w:r>
          </w:p>
        </w:tc>
        <w:tc>
          <w:tcPr>
            <w:tcW w:w="3225" w:type="dxa"/>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此类设备系统性极强，严禁拆分零租。应要求供应商根据活动场地和需求，提供包含安装、调试在内的整套系统打包价，并对比多家。</w:t>
            </w:r>
          </w:p>
        </w:tc>
      </w:tr>
    </w:tbl>
    <w:p>
      <w:pPr>
        <w:keepNext/>
        <w:keepLines/>
        <w:widowControl w:val="0"/>
        <w:numPr>
          <w:ilvl w:val="3"/>
          <w:numId w:val="2"/>
        </w:numPr>
        <w:adjustRightInd w:val="0"/>
        <w:spacing w:before="120" w:after="60" w:line="500" w:lineRule="exact"/>
        <w:ind w:left="0" w:firstLine="642" w:firstLineChars="200"/>
        <w:jc w:val="both"/>
        <w:outlineLvl w:val="3"/>
        <w:rPr>
          <w:rFonts w:ascii="Times New Roman" w:hAnsi="Times New Roman" w:eastAsia="仿宋_GB2312" w:cs="Times New Roman"/>
          <w:b/>
          <w:bCs/>
          <w:kern w:val="0"/>
          <w:sz w:val="32"/>
          <w:szCs w:val="32"/>
          <w:lang w:val="zh-CN" w:eastAsia="zh-CN" w:bidi="ar-SA"/>
        </w:rPr>
      </w:pPr>
      <w:r>
        <w:rPr>
          <w:rFonts w:hint="eastAsia" w:ascii="Times New Roman" w:hAnsi="Times New Roman" w:eastAsia="仿宋_GB2312" w:cs="Times New Roman"/>
          <w:b/>
          <w:bCs/>
          <w:kern w:val="0"/>
          <w:sz w:val="32"/>
          <w:szCs w:val="32"/>
          <w:lang w:val="zh-CN" w:eastAsia="zh-CN" w:bidi="ar-SA"/>
        </w:rPr>
        <w:t>展位搭建</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标准展位（标展）：指使用标准化、模块化构件（如标准桁架、喷绘布、成品展板）快速组装，无定制性舞台结构、无非标艺术造型、仅使用基础照明和音响的展示单元，建议每平方米单价不超过300元。</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特装展位（特展）：指符合以下任一条件的展位区域，建议每平方米单价不超过800元（含相关设备租赁费用）。一是含有“舞台与基础结构搭建费”中定义的异形/多层结构或特殊功能结构；二是含有“造型与特殊场景制作费”中定义的任何一项定制造型；三是需租赁并使用“视听设备租赁费”中涉及的专业LED大屏、大型灯光阵列或复杂音响系统。</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特装展位的全部相关费用，如由于特异结构造成平均单价超过控制价，需专项审批。</w:t>
      </w:r>
    </w:p>
    <w:p>
      <w:pPr>
        <w:keepNext/>
        <w:keepLines/>
        <w:widowControl w:val="0"/>
        <w:numPr>
          <w:ilvl w:val="3"/>
          <w:numId w:val="2"/>
        </w:numPr>
        <w:adjustRightInd w:val="0"/>
        <w:spacing w:before="120" w:after="60" w:line="500" w:lineRule="exact"/>
        <w:ind w:left="0" w:firstLine="642" w:firstLineChars="200"/>
        <w:jc w:val="both"/>
        <w:outlineLvl w:val="3"/>
        <w:rPr>
          <w:rFonts w:ascii="Times New Roman" w:hAnsi="Times New Roman" w:eastAsia="仿宋_GB2312" w:cs="Times New Roman"/>
          <w:b/>
          <w:bCs/>
          <w:kern w:val="0"/>
          <w:sz w:val="32"/>
          <w:szCs w:val="32"/>
          <w:lang w:val="zh-CN" w:eastAsia="zh-CN" w:bidi="ar-SA"/>
        </w:rPr>
      </w:pPr>
      <w:r>
        <w:rPr>
          <w:rFonts w:hint="eastAsia" w:ascii="Times New Roman" w:hAnsi="Times New Roman" w:eastAsia="仿宋_GB2312" w:cs="Times New Roman"/>
          <w:b/>
          <w:bCs/>
          <w:kern w:val="0"/>
          <w:sz w:val="32"/>
          <w:szCs w:val="32"/>
          <w:lang w:val="zh-CN" w:eastAsia="zh-CN" w:bidi="ar-SA"/>
        </w:rPr>
        <w:t>人工、运输及杂费</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此处特指舞台搭建、搬运、专业技术操作的人员等费用。</w:t>
      </w:r>
    </w:p>
    <w:p>
      <w:pPr>
        <w:widowControl w:val="0"/>
        <w:spacing w:before="60" w:after="60"/>
        <w:jc w:val="center"/>
        <w:rPr>
          <w:rFonts w:ascii="Times New Roman" w:hAnsi="Times New Roman" w:eastAsia="仿宋_GB2312" w:cs="Times New Roman"/>
          <w:b/>
          <w:kern w:val="0"/>
          <w:sz w:val="28"/>
          <w:szCs w:val="32"/>
          <w:lang w:val="en-US" w:eastAsia="zh-CN" w:bidi="ar-SA"/>
        </w:rPr>
      </w:pPr>
      <w:r>
        <w:rPr>
          <w:rFonts w:hint="eastAsia" w:ascii="Times New Roman" w:hAnsi="Times New Roman" w:eastAsia="仿宋_GB2312" w:cs="Times New Roman"/>
          <w:b/>
          <w:kern w:val="0"/>
          <w:sz w:val="28"/>
          <w:szCs w:val="32"/>
          <w:lang w:val="en-US" w:eastAsia="zh-CN" w:bidi="ar-SA"/>
        </w:rPr>
        <w:t>表3-6  和林格尔县大型活动舞台搭建人工、运输及杂费控制标准</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8"/>
        <w:gridCol w:w="1512"/>
        <w:gridCol w:w="3013"/>
        <w:gridCol w:w="3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6" w:type="pct"/>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序号</w:t>
            </w:r>
          </w:p>
        </w:tc>
        <w:tc>
          <w:tcPr>
            <w:tcW w:w="834" w:type="pct"/>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项目类型</w:t>
            </w:r>
          </w:p>
        </w:tc>
        <w:tc>
          <w:tcPr>
            <w:tcW w:w="1662" w:type="pct"/>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标准</w:t>
            </w:r>
          </w:p>
        </w:tc>
        <w:tc>
          <w:tcPr>
            <w:tcW w:w="2106" w:type="pct"/>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说明与界定标准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6"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1</w:t>
            </w:r>
          </w:p>
        </w:tc>
        <w:tc>
          <w:tcPr>
            <w:tcW w:w="834"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技术人工费</w:t>
            </w:r>
          </w:p>
        </w:tc>
        <w:tc>
          <w:tcPr>
            <w:tcW w:w="1662"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≤1000元/人/天</w:t>
            </w:r>
          </w:p>
        </w:tc>
        <w:tc>
          <w:tcPr>
            <w:tcW w:w="2106" w:type="pct"/>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指提供专业技术操作的人员，如</w:t>
            </w:r>
            <w:r>
              <w:rPr>
                <w:rFonts w:hint="default" w:ascii="Times New Roman" w:hAnsi="Times New Roman" w:eastAsia="仿宋_GB2312" w:cs="宋体"/>
                <w:bCs/>
                <w:color w:val="000000"/>
                <w:kern w:val="0"/>
                <w:sz w:val="24"/>
                <w:szCs w:val="24"/>
                <w:lang w:val="zh-CN" w:eastAsia="zh-CN" w:bidi="ar-SA"/>
              </w:rPr>
              <w:t>灯光师、音响师</w:t>
            </w:r>
            <w:r>
              <w:rPr>
                <w:rFonts w:hint="eastAsia" w:ascii="Times New Roman" w:hAnsi="Times New Roman" w:eastAsia="仿宋_GB2312" w:cs="宋体"/>
                <w:bCs/>
                <w:color w:val="000000"/>
                <w:kern w:val="0"/>
                <w:sz w:val="24"/>
                <w:szCs w:val="24"/>
                <w:lang w:val="zh-CN" w:eastAsia="zh-CN" w:bidi="ar-SA"/>
              </w:rPr>
              <w:t>等。预算需明确人员数量与工作天数。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6"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2</w:t>
            </w:r>
          </w:p>
        </w:tc>
        <w:tc>
          <w:tcPr>
            <w:tcW w:w="834"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普通搭建/搬运人工费</w:t>
            </w:r>
          </w:p>
        </w:tc>
        <w:tc>
          <w:tcPr>
            <w:tcW w:w="1662" w:type="pct"/>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应包含在“舞台搭建”和“造型制作”的综合单价中，原则上不得单独列支。</w:t>
            </w:r>
          </w:p>
        </w:tc>
        <w:tc>
          <w:tcPr>
            <w:tcW w:w="2106" w:type="pct"/>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确因特殊情况需额外增派人力，需说明理由并按不超过350元/人/天标准列支。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396"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3</w:t>
            </w:r>
          </w:p>
        </w:tc>
        <w:tc>
          <w:tcPr>
            <w:tcW w:w="834"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本地运输费</w:t>
            </w:r>
          </w:p>
        </w:tc>
        <w:tc>
          <w:tcPr>
            <w:tcW w:w="1662" w:type="pct"/>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应包含在相关项目的综合单价或设备租赁打包价中。</w:t>
            </w:r>
          </w:p>
        </w:tc>
        <w:tc>
          <w:tcPr>
            <w:tcW w:w="2106" w:type="pct"/>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单独发生的长途或大宗运输，需提供货运单，按市场运价实报实销。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6"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3</w:t>
            </w:r>
          </w:p>
        </w:tc>
        <w:tc>
          <w:tcPr>
            <w:tcW w:w="834"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其他杂费</w:t>
            </w:r>
          </w:p>
        </w:tc>
        <w:tc>
          <w:tcPr>
            <w:tcW w:w="1662"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据实结算。</w:t>
            </w:r>
          </w:p>
        </w:tc>
        <w:tc>
          <w:tcPr>
            <w:tcW w:w="2106" w:type="pct"/>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需提供与场馆或服务方的协议或发票。</w:t>
            </w:r>
          </w:p>
        </w:tc>
      </w:tr>
    </w:tbl>
    <w:p>
      <w:pPr>
        <w:keepNext/>
        <w:keepLines/>
        <w:widowControl w:val="0"/>
        <w:numPr>
          <w:ilvl w:val="2"/>
          <w:numId w:val="2"/>
        </w:numPr>
        <w:adjustRightInd w:val="0"/>
        <w:spacing w:before="120" w:after="60" w:line="500" w:lineRule="exact"/>
        <w:ind w:left="0" w:firstLine="642" w:firstLineChars="200"/>
        <w:jc w:val="both"/>
        <w:outlineLvl w:val="2"/>
        <w:rPr>
          <w:rFonts w:ascii="Times New Roman" w:hAnsi="Times New Roman" w:eastAsia="仿宋_GB2312" w:cs="Times New Roman"/>
          <w:b/>
          <w:bCs/>
          <w:kern w:val="0"/>
          <w:sz w:val="32"/>
          <w:szCs w:val="36"/>
          <w:lang w:val="zh-CN" w:eastAsia="zh-CN" w:bidi="ar-SA"/>
        </w:rPr>
      </w:pPr>
      <w:r>
        <w:rPr>
          <w:rFonts w:hint="eastAsia" w:ascii="Times New Roman" w:hAnsi="Times New Roman" w:eastAsia="仿宋_GB2312" w:cs="Times New Roman"/>
          <w:b/>
          <w:bCs/>
          <w:kern w:val="0"/>
          <w:sz w:val="32"/>
          <w:szCs w:val="36"/>
          <w:lang w:val="zh-CN" w:eastAsia="zh-CN" w:bidi="ar-SA"/>
        </w:rPr>
        <w:t>活动物料费</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指活动消耗性或耐久性低的实体物品，包括印刷品、证件、打卡装置、简易装饰等。</w:t>
      </w:r>
    </w:p>
    <w:p>
      <w:pPr>
        <w:widowControl w:val="0"/>
        <w:spacing w:before="60" w:after="60"/>
        <w:jc w:val="center"/>
        <w:rPr>
          <w:rFonts w:ascii="Times New Roman" w:hAnsi="Times New Roman" w:eastAsia="仿宋_GB2312" w:cs="Times New Roman"/>
          <w:b/>
          <w:kern w:val="0"/>
          <w:sz w:val="28"/>
          <w:szCs w:val="32"/>
          <w:lang w:val="en-US" w:eastAsia="zh-CN" w:bidi="ar-SA"/>
        </w:rPr>
      </w:pPr>
      <w:r>
        <w:rPr>
          <w:rFonts w:hint="eastAsia" w:ascii="Times New Roman" w:hAnsi="Times New Roman" w:eastAsia="仿宋_GB2312" w:cs="Times New Roman"/>
          <w:b/>
          <w:kern w:val="0"/>
          <w:sz w:val="28"/>
          <w:szCs w:val="32"/>
          <w:lang w:val="en-US" w:eastAsia="zh-CN" w:bidi="ar-SA"/>
        </w:rPr>
        <w:t>表3-7  和林格尔县大型活动物料费控制标准</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1744"/>
        <w:gridCol w:w="4195"/>
        <w:gridCol w:w="24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4" w:type="pct"/>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序号</w:t>
            </w:r>
          </w:p>
        </w:tc>
        <w:tc>
          <w:tcPr>
            <w:tcW w:w="962" w:type="pct"/>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项目类型</w:t>
            </w:r>
          </w:p>
        </w:tc>
        <w:tc>
          <w:tcPr>
            <w:tcW w:w="2314" w:type="pct"/>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标准</w:t>
            </w:r>
          </w:p>
        </w:tc>
        <w:tc>
          <w:tcPr>
            <w:tcW w:w="1328" w:type="pct"/>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说明与界定标准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4"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1</w:t>
            </w:r>
          </w:p>
        </w:tc>
        <w:tc>
          <w:tcPr>
            <w:tcW w:w="962"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eastAsia" w:ascii="仿宋_GB2312" w:hAnsi="仿宋_GB2312" w:eastAsia="仿宋_GB2312" w:cs="仿宋_GB2312"/>
                <w:b/>
                <w:bCs/>
                <w:color w:val="000000"/>
                <w:kern w:val="0"/>
                <w:sz w:val="24"/>
                <w:szCs w:val="24"/>
                <w:lang w:val="zh-CN" w:eastAsia="zh-CN" w:bidi="ar-SA"/>
              </w:rPr>
            </w:pPr>
            <w:r>
              <w:rPr>
                <w:rFonts w:hint="eastAsia" w:ascii="仿宋_GB2312" w:hAnsi="仿宋_GB2312" w:eastAsia="仿宋_GB2312" w:cs="仿宋_GB2312"/>
                <w:b w:val="0"/>
                <w:bCs w:val="0"/>
                <w:color w:val="0F1115"/>
                <w:kern w:val="2"/>
                <w:sz w:val="24"/>
                <w:szCs w:val="24"/>
                <w:lang w:val="en-US" w:eastAsia="zh-CN" w:bidi="ar-SA"/>
              </w:rPr>
              <w:t>印刷品</w:t>
            </w:r>
          </w:p>
        </w:tc>
        <w:tc>
          <w:tcPr>
            <w:tcW w:w="2314" w:type="pct"/>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Segoe UI" w:hAnsi="Segoe UI" w:eastAsia="仿宋_GB2312" w:cs="Segoe UI"/>
                <w:bCs/>
                <w:color w:val="0F1115"/>
                <w:kern w:val="0"/>
                <w:sz w:val="24"/>
                <w:szCs w:val="24"/>
                <w:lang w:val="zh-CN" w:eastAsia="zh-CN" w:bidi="ar-SA"/>
              </w:rPr>
            </w:pPr>
            <w:r>
              <w:rPr>
                <w:rFonts w:hint="default" w:ascii="Segoe UI" w:hAnsi="Segoe UI" w:eastAsia="等线" w:cs="Segoe UI"/>
                <w:b/>
                <w:bCs w:val="0"/>
                <w:color w:val="0F1115"/>
                <w:kern w:val="2"/>
                <w:sz w:val="24"/>
                <w:szCs w:val="24"/>
                <w:lang w:val="en-US" w:eastAsia="zh-CN" w:bidi="ar-SA"/>
              </w:rPr>
              <w:t>数量标准</w:t>
            </w:r>
            <w:r>
              <w:rPr>
                <w:rFonts w:hint="default" w:ascii="Segoe UI" w:hAnsi="Segoe UI" w:eastAsia="仿宋_GB2312" w:cs="Segoe UI"/>
                <w:bCs/>
                <w:color w:val="0F1115"/>
                <w:kern w:val="0"/>
                <w:sz w:val="24"/>
                <w:szCs w:val="24"/>
                <w:lang w:val="zh-CN" w:eastAsia="zh-CN" w:bidi="ar-SA"/>
              </w:rPr>
              <w:t>：按核定嘉宾、工作人员、媒体人数</w:t>
            </w:r>
            <w:r>
              <w:rPr>
                <w:rFonts w:hint="eastAsia" w:ascii="Times New Roman" w:hAnsi="Segoe UI" w:eastAsia="仿宋_GB2312" w:cs="Segoe UI"/>
                <w:bCs/>
                <w:color w:val="0F1115"/>
                <w:kern w:val="0"/>
                <w:sz w:val="24"/>
                <w:szCs w:val="24"/>
                <w:lang w:val="zh-CN" w:eastAsia="zh-CN" w:bidi="ar-SA"/>
              </w:rPr>
              <w:t>*1.2</w:t>
            </w:r>
            <w:r>
              <w:rPr>
                <w:rFonts w:hint="default" w:ascii="Segoe UI" w:hAnsi="Segoe UI" w:eastAsia="仿宋_GB2312" w:cs="Segoe UI"/>
                <w:bCs/>
                <w:color w:val="0F1115"/>
                <w:kern w:val="0"/>
                <w:sz w:val="24"/>
                <w:szCs w:val="24"/>
                <w:lang w:val="zh-CN" w:eastAsia="zh-CN" w:bidi="ar-SA"/>
              </w:rPr>
              <w:t>的安全系数测算，严禁无依据超量印刷。</w:t>
            </w:r>
          </w:p>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default" w:ascii="Segoe UI" w:hAnsi="Segoe UI" w:eastAsia="等线" w:cs="Segoe UI"/>
                <w:b/>
                <w:bCs w:val="0"/>
                <w:color w:val="0F1115"/>
                <w:kern w:val="2"/>
                <w:sz w:val="24"/>
                <w:szCs w:val="24"/>
                <w:lang w:val="en-US" w:eastAsia="zh-CN" w:bidi="ar-SA"/>
              </w:rPr>
              <w:t>单价标准</w:t>
            </w:r>
            <w:r>
              <w:rPr>
                <w:rFonts w:hint="default" w:ascii="Segoe UI" w:hAnsi="Segoe UI" w:eastAsia="仿宋_GB2312" w:cs="Segoe UI"/>
                <w:bCs/>
                <w:color w:val="0F1115"/>
                <w:kern w:val="0"/>
                <w:sz w:val="24"/>
                <w:szCs w:val="24"/>
                <w:lang w:val="zh-CN" w:eastAsia="zh-CN" w:bidi="ar-SA"/>
              </w:rPr>
              <w:t>：不得超过近期本地印刷市场平均报价。</w:t>
            </w:r>
          </w:p>
        </w:tc>
        <w:tc>
          <w:tcPr>
            <w:tcW w:w="1328"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eastAsia" w:ascii="仿宋_GB2312" w:hAnsi="仿宋_GB2312" w:eastAsia="仿宋_GB2312" w:cs="仿宋_GB2312"/>
                <w:b/>
                <w:bCs/>
                <w:color w:val="000000"/>
                <w:kern w:val="0"/>
                <w:sz w:val="24"/>
                <w:szCs w:val="24"/>
                <w:lang w:val="zh-CN" w:eastAsia="zh-CN" w:bidi="ar-SA"/>
              </w:rPr>
            </w:pPr>
            <w:r>
              <w:rPr>
                <w:rFonts w:hint="eastAsia" w:ascii="仿宋_GB2312" w:hAnsi="仿宋_GB2312" w:eastAsia="仿宋_GB2312" w:cs="仿宋_GB2312"/>
                <w:b w:val="0"/>
                <w:bCs w:val="0"/>
                <w:color w:val="0F1115"/>
                <w:kern w:val="2"/>
                <w:sz w:val="24"/>
                <w:szCs w:val="24"/>
                <w:lang w:val="en-US" w:eastAsia="zh-CN" w:bidi="ar-SA"/>
              </w:rPr>
              <w:t>邀请函、手册等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4"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2</w:t>
            </w:r>
          </w:p>
        </w:tc>
        <w:tc>
          <w:tcPr>
            <w:tcW w:w="962"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eastAsia" w:ascii="仿宋_GB2312" w:hAnsi="仿宋_GB2312" w:eastAsia="仿宋_GB2312" w:cs="仿宋_GB2312"/>
                <w:b/>
                <w:bCs/>
                <w:color w:val="000000"/>
                <w:kern w:val="0"/>
                <w:sz w:val="24"/>
                <w:szCs w:val="24"/>
                <w:lang w:val="zh-CN" w:eastAsia="zh-CN" w:bidi="ar-SA"/>
              </w:rPr>
            </w:pPr>
            <w:r>
              <w:rPr>
                <w:rFonts w:hint="eastAsia" w:ascii="仿宋_GB2312" w:hAnsi="仿宋_GB2312" w:eastAsia="仿宋_GB2312" w:cs="仿宋_GB2312"/>
                <w:b w:val="0"/>
                <w:bCs w:val="0"/>
                <w:color w:val="0F1115"/>
                <w:kern w:val="2"/>
                <w:sz w:val="24"/>
                <w:szCs w:val="24"/>
                <w:lang w:val="en-US" w:eastAsia="zh-CN" w:bidi="ar-SA"/>
              </w:rPr>
              <w:t>证件</w:t>
            </w:r>
          </w:p>
        </w:tc>
        <w:tc>
          <w:tcPr>
            <w:tcW w:w="2314"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仿宋_GB2312" w:hAnsi="Times New Roman" w:eastAsia="仿宋_GB2312" w:cs="宋体"/>
                <w:bCs/>
                <w:color w:val="000000"/>
                <w:kern w:val="0"/>
                <w:sz w:val="24"/>
                <w:szCs w:val="24"/>
                <w:lang w:val="zh-CN" w:eastAsia="zh-CN" w:bidi="ar-SA"/>
              </w:rPr>
            </w:pPr>
            <w:r>
              <w:rPr>
                <w:rFonts w:hint="eastAsia" w:ascii="仿宋_GB2312" w:hAnsi="Segoe UI" w:eastAsia="仿宋_GB2312" w:cs="Segoe UI"/>
                <w:bCs/>
                <w:color w:val="0F1115"/>
                <w:kern w:val="0"/>
                <w:sz w:val="24"/>
                <w:szCs w:val="24"/>
                <w:lang w:val="zh-CN" w:eastAsia="zh-CN" w:bidi="ar-SA"/>
              </w:rPr>
              <w:t>单价</w:t>
            </w:r>
            <w:r>
              <w:rPr>
                <w:rFonts w:hint="eastAsia" w:ascii="Times New Roman" w:hAnsi="Times New Roman" w:eastAsia="仿宋_GB2312" w:cs="宋体"/>
                <w:bCs/>
                <w:color w:val="000000"/>
                <w:kern w:val="0"/>
                <w:sz w:val="24"/>
                <w:szCs w:val="24"/>
                <w:lang w:val="zh-CN" w:eastAsia="zh-CN" w:bidi="ar-SA"/>
              </w:rPr>
              <w:t>≤</w:t>
            </w:r>
            <w:r>
              <w:rPr>
                <w:rFonts w:hint="eastAsia" w:ascii="仿宋_GB2312" w:hAnsi="Segoe UI" w:eastAsia="仿宋_GB2312" w:cs="Segoe UI"/>
                <w:bCs/>
                <w:color w:val="0F1115"/>
                <w:kern w:val="0"/>
                <w:sz w:val="24"/>
                <w:szCs w:val="24"/>
                <w:lang w:val="zh-CN" w:eastAsia="zh-CN" w:bidi="ar-SA"/>
              </w:rPr>
              <w:t>8.5元/个（含挂绳）。</w:t>
            </w:r>
          </w:p>
        </w:tc>
        <w:tc>
          <w:tcPr>
            <w:tcW w:w="1328"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eastAsia" w:ascii="仿宋_GB2312" w:hAnsi="仿宋_GB2312" w:eastAsia="仿宋_GB2312" w:cs="仿宋_GB2312"/>
                <w:b/>
                <w:bCs/>
                <w:color w:val="000000"/>
                <w:kern w:val="0"/>
                <w:sz w:val="24"/>
                <w:szCs w:val="24"/>
                <w:lang w:val="zh-CN" w:eastAsia="zh-CN" w:bidi="ar-SA"/>
              </w:rPr>
            </w:pPr>
            <w:r>
              <w:rPr>
                <w:rFonts w:hint="eastAsia" w:ascii="仿宋_GB2312" w:hAnsi="仿宋_GB2312" w:eastAsia="仿宋_GB2312" w:cs="仿宋_GB2312"/>
                <w:b w:val="0"/>
                <w:bCs w:val="0"/>
                <w:color w:val="0F1115"/>
                <w:kern w:val="2"/>
                <w:sz w:val="24"/>
                <w:szCs w:val="24"/>
                <w:lang w:val="en-US" w:eastAsia="zh-CN" w:bidi="ar-SA"/>
              </w:rPr>
              <w:t>工作证、嘉宾证等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394"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3</w:t>
            </w:r>
          </w:p>
        </w:tc>
        <w:tc>
          <w:tcPr>
            <w:tcW w:w="962"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eastAsia" w:ascii="仿宋_GB2312" w:hAnsi="仿宋_GB2312" w:eastAsia="仿宋_GB2312" w:cs="仿宋_GB2312"/>
                <w:b/>
                <w:bCs/>
                <w:color w:val="000000"/>
                <w:kern w:val="0"/>
                <w:sz w:val="24"/>
                <w:szCs w:val="24"/>
                <w:lang w:val="zh-CN" w:eastAsia="zh-CN" w:bidi="ar-SA"/>
              </w:rPr>
            </w:pPr>
            <w:r>
              <w:rPr>
                <w:rFonts w:hint="eastAsia" w:ascii="仿宋_GB2312" w:hAnsi="仿宋_GB2312" w:eastAsia="仿宋_GB2312" w:cs="仿宋_GB2312"/>
                <w:b w:val="0"/>
                <w:bCs w:val="0"/>
                <w:color w:val="0F1115"/>
                <w:kern w:val="2"/>
                <w:sz w:val="24"/>
                <w:szCs w:val="24"/>
                <w:lang w:val="en-US" w:eastAsia="zh-CN" w:bidi="ar-SA"/>
              </w:rPr>
              <w:t>打卡区装置</w:t>
            </w:r>
          </w:p>
        </w:tc>
        <w:tc>
          <w:tcPr>
            <w:tcW w:w="2314" w:type="pct"/>
            <w:vAlign w:val="center"/>
          </w:tcPr>
          <w:p>
            <w:pPr>
              <w:keepNext w:val="0"/>
              <w:keepLines w:val="0"/>
              <w:widowControl/>
              <w:suppressLineNumbers w:val="0"/>
              <w:spacing w:before="0" w:beforeAutospacing="0" w:after="0" w:afterAutospacing="0" w:line="320" w:lineRule="exact"/>
              <w:ind w:left="0" w:right="0" w:firstLine="0" w:firstLineChars="0"/>
              <w:jc w:val="both"/>
              <w:rPr>
                <w:rFonts w:hint="default" w:ascii="Times New Roman" w:hAnsi="Times New Roman" w:eastAsia="仿宋_GB2312" w:cs="宋体"/>
                <w:bCs/>
                <w:color w:val="000000"/>
                <w:kern w:val="0"/>
                <w:sz w:val="24"/>
                <w:szCs w:val="24"/>
                <w:lang w:val="zh-CN" w:eastAsia="zh-CN" w:bidi="ar-SA"/>
              </w:rPr>
            </w:pPr>
            <w:r>
              <w:rPr>
                <w:rFonts w:hint="default" w:ascii="Segoe UI" w:hAnsi="Segoe UI" w:eastAsia="仿宋_GB2312" w:cs="Segoe UI"/>
                <w:bCs/>
                <w:color w:val="0F1115"/>
                <w:kern w:val="0"/>
                <w:sz w:val="24"/>
                <w:szCs w:val="24"/>
                <w:lang w:val="zh-CN" w:eastAsia="zh-CN" w:bidi="ar-SA"/>
              </w:rPr>
              <w:t>实行</w:t>
            </w:r>
            <w:r>
              <w:rPr>
                <w:rFonts w:hint="eastAsia" w:ascii="Segoe UI" w:hAnsi="Segoe UI" w:eastAsia="仿宋_GB2312" w:cs="Segoe UI"/>
                <w:bCs/>
                <w:color w:val="0F1115"/>
                <w:kern w:val="0"/>
                <w:sz w:val="24"/>
                <w:szCs w:val="24"/>
                <w:lang w:val="zh-CN" w:eastAsia="zh-CN" w:bidi="ar-SA"/>
              </w:rPr>
              <w:t>“</w:t>
            </w:r>
            <w:r>
              <w:rPr>
                <w:rFonts w:hint="default" w:ascii="Segoe UI" w:hAnsi="Segoe UI" w:eastAsia="等线" w:cs="Segoe UI"/>
                <w:b/>
                <w:bCs w:val="0"/>
                <w:color w:val="0F1115"/>
                <w:kern w:val="2"/>
                <w:sz w:val="24"/>
                <w:szCs w:val="24"/>
                <w:lang w:val="en-US" w:eastAsia="zh-CN" w:bidi="ar-SA"/>
              </w:rPr>
              <w:t>一事一议</w:t>
            </w:r>
            <w:r>
              <w:rPr>
                <w:rFonts w:hint="eastAsia" w:ascii="Segoe UI" w:hAnsi="Segoe UI" w:eastAsia="仿宋_GB2312" w:cs="Segoe UI"/>
                <w:bCs/>
                <w:color w:val="0F1115"/>
                <w:kern w:val="0"/>
                <w:sz w:val="24"/>
                <w:szCs w:val="24"/>
                <w:lang w:val="zh-CN" w:eastAsia="zh-CN" w:bidi="ar-SA"/>
              </w:rPr>
              <w:t>”</w:t>
            </w:r>
            <w:r>
              <w:rPr>
                <w:rFonts w:hint="default" w:ascii="Segoe UI" w:hAnsi="Segoe UI" w:eastAsia="仿宋_GB2312" w:cs="Segoe UI"/>
                <w:bCs/>
                <w:color w:val="0F1115"/>
                <w:kern w:val="0"/>
                <w:sz w:val="24"/>
                <w:szCs w:val="24"/>
                <w:lang w:val="zh-CN" w:eastAsia="zh-CN" w:bidi="ar-SA"/>
              </w:rPr>
              <w:t>审批。需提交设计图、效果图及三方报价。原则上，单个</w:t>
            </w:r>
            <w:r>
              <w:rPr>
                <w:rFonts w:hint="eastAsia" w:ascii="Times New Roman" w:hAnsi="Segoe UI" w:eastAsia="仿宋_GB2312" w:cs="Segoe UI"/>
                <w:bCs/>
                <w:color w:val="0F1115"/>
                <w:kern w:val="0"/>
                <w:sz w:val="24"/>
                <w:szCs w:val="24"/>
                <w:lang w:val="zh-CN" w:eastAsia="zh-CN" w:bidi="ar-SA"/>
              </w:rPr>
              <w:t>体量装置总费用（含设计、制作、安装、运输）不超过</w:t>
            </w:r>
            <w:r>
              <w:rPr>
                <w:rFonts w:hint="eastAsia" w:ascii="仿宋_GB2312" w:hAnsi="Segoe UI" w:eastAsia="等线" w:cs="Segoe UI"/>
                <w:b/>
                <w:bCs/>
                <w:color w:val="0F1115"/>
                <w:kern w:val="2"/>
                <w:sz w:val="24"/>
                <w:szCs w:val="24"/>
                <w:lang w:val="en-US" w:eastAsia="zh-CN" w:bidi="ar-SA"/>
              </w:rPr>
              <w:t>50000元</w:t>
            </w:r>
            <w:r>
              <w:rPr>
                <w:rFonts w:hint="eastAsia" w:ascii="Times New Roman" w:hAnsi="Segoe UI" w:eastAsia="仿宋_GB2312" w:cs="Segoe UI"/>
                <w:bCs/>
                <w:color w:val="0F1115"/>
                <w:kern w:val="0"/>
                <w:sz w:val="24"/>
                <w:szCs w:val="24"/>
                <w:lang w:val="zh-CN" w:eastAsia="zh-CN" w:bidi="ar-SA"/>
              </w:rPr>
              <w:t>。</w:t>
            </w:r>
          </w:p>
        </w:tc>
        <w:tc>
          <w:tcPr>
            <w:tcW w:w="1328"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eastAsia" w:ascii="仿宋_GB2312" w:hAnsi="仿宋_GB2312" w:eastAsia="仿宋_GB2312" w:cs="仿宋_GB2312"/>
                <w:bCs w:val="0"/>
                <w:color w:val="000000"/>
                <w:kern w:val="0"/>
                <w:sz w:val="24"/>
                <w:szCs w:val="24"/>
                <w:lang w:val="zh-CN" w:eastAsia="zh-CN" w:bidi="ar-SA"/>
              </w:rPr>
            </w:pPr>
            <w:r>
              <w:rPr>
                <w:rFonts w:hint="eastAsia" w:ascii="仿宋_GB2312" w:hAnsi="仿宋_GB2312" w:eastAsia="仿宋_GB2312" w:cs="仿宋_GB2312"/>
                <w:bCs w:val="0"/>
                <w:color w:val="0F1115"/>
                <w:kern w:val="0"/>
                <w:sz w:val="24"/>
                <w:szCs w:val="24"/>
                <w:lang w:val="zh-CN" w:eastAsia="zh-CN" w:bidi="ar-SA"/>
              </w:rPr>
              <w:t>如定制入口拱门。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4"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4</w:t>
            </w:r>
          </w:p>
        </w:tc>
        <w:tc>
          <w:tcPr>
            <w:tcW w:w="962"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eastAsia" w:ascii="仿宋_GB2312" w:hAnsi="仿宋_GB2312" w:eastAsia="仿宋_GB2312" w:cs="仿宋_GB2312"/>
                <w:b/>
                <w:bCs/>
                <w:color w:val="000000"/>
                <w:kern w:val="0"/>
                <w:sz w:val="24"/>
                <w:szCs w:val="24"/>
                <w:lang w:val="zh-CN" w:eastAsia="zh-CN" w:bidi="ar-SA"/>
              </w:rPr>
            </w:pPr>
            <w:r>
              <w:rPr>
                <w:rFonts w:hint="eastAsia" w:ascii="仿宋_GB2312" w:hAnsi="仿宋_GB2312" w:eastAsia="仿宋_GB2312" w:cs="仿宋_GB2312"/>
                <w:b w:val="0"/>
                <w:bCs w:val="0"/>
                <w:color w:val="0F1115"/>
                <w:kern w:val="2"/>
                <w:sz w:val="24"/>
                <w:szCs w:val="24"/>
                <w:lang w:val="en-US" w:eastAsia="zh-CN" w:bidi="ar-SA"/>
              </w:rPr>
              <w:t>其他消耗物料</w:t>
            </w:r>
          </w:p>
        </w:tc>
        <w:tc>
          <w:tcPr>
            <w:tcW w:w="2314"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default" w:ascii="Segoe UI" w:hAnsi="Segoe UI" w:eastAsia="仿宋_GB2312" w:cs="Segoe UI"/>
                <w:bCs/>
                <w:color w:val="0F1115"/>
                <w:kern w:val="0"/>
                <w:sz w:val="24"/>
                <w:szCs w:val="24"/>
                <w:lang w:val="zh-CN" w:eastAsia="zh-CN" w:bidi="ar-SA"/>
              </w:rPr>
              <w:t>预算需列明品名、规格、数量、单价，总价控制在活动总费用的</w:t>
            </w:r>
            <w:r>
              <w:rPr>
                <w:rFonts w:hint="eastAsia" w:ascii="仿宋_GB2312" w:hAnsi="Segoe UI" w:eastAsia="等线" w:cs="Segoe UI"/>
                <w:b/>
                <w:bCs/>
                <w:color w:val="0F1115"/>
                <w:kern w:val="2"/>
                <w:sz w:val="24"/>
                <w:szCs w:val="24"/>
                <w:lang w:val="en-US" w:eastAsia="zh-CN" w:bidi="ar-SA"/>
              </w:rPr>
              <w:t>0.5%以内</w:t>
            </w:r>
            <w:r>
              <w:rPr>
                <w:rFonts w:hint="eastAsia" w:ascii="Times New Roman" w:hAnsi="Segoe UI" w:eastAsia="仿宋_GB2312" w:cs="Segoe UI"/>
                <w:bCs/>
                <w:color w:val="0F1115"/>
                <w:kern w:val="0"/>
                <w:sz w:val="24"/>
                <w:szCs w:val="24"/>
                <w:lang w:val="zh-CN" w:eastAsia="zh-CN" w:bidi="ar-SA"/>
              </w:rPr>
              <w:t>。</w:t>
            </w:r>
          </w:p>
        </w:tc>
        <w:tc>
          <w:tcPr>
            <w:tcW w:w="1328"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default" w:ascii="Segoe UI" w:hAnsi="Segoe UI" w:eastAsia="仿宋_GB2312" w:cs="Segoe UI"/>
                <w:bCs/>
                <w:color w:val="0F1115"/>
                <w:kern w:val="0"/>
                <w:sz w:val="24"/>
                <w:szCs w:val="24"/>
                <w:lang w:val="zh-CN" w:eastAsia="zh-CN" w:bidi="ar-SA"/>
              </w:rPr>
              <w:t>鼓励使用环保、可循环物料。</w:t>
            </w:r>
          </w:p>
        </w:tc>
      </w:tr>
    </w:tbl>
    <w:p>
      <w:pPr>
        <w:keepNext/>
        <w:keepLines/>
        <w:widowControl w:val="0"/>
        <w:numPr>
          <w:ilvl w:val="2"/>
          <w:numId w:val="2"/>
        </w:numPr>
        <w:adjustRightInd w:val="0"/>
        <w:spacing w:before="120" w:after="60" w:line="500" w:lineRule="exact"/>
        <w:ind w:left="0" w:firstLine="642" w:firstLineChars="200"/>
        <w:jc w:val="both"/>
        <w:outlineLvl w:val="2"/>
        <w:rPr>
          <w:rFonts w:ascii="Times New Roman" w:hAnsi="Times New Roman" w:eastAsia="仿宋_GB2312" w:cs="Times New Roman"/>
          <w:b/>
          <w:bCs/>
          <w:kern w:val="0"/>
          <w:sz w:val="32"/>
          <w:szCs w:val="36"/>
          <w:lang w:val="zh-CN" w:eastAsia="zh-CN" w:bidi="ar-SA"/>
        </w:rPr>
      </w:pPr>
      <w:r>
        <w:rPr>
          <w:rFonts w:hint="eastAsia" w:ascii="Times New Roman" w:hAnsi="Times New Roman" w:eastAsia="仿宋_GB2312" w:cs="Times New Roman"/>
          <w:b/>
          <w:bCs/>
          <w:kern w:val="0"/>
          <w:sz w:val="32"/>
          <w:szCs w:val="36"/>
          <w:lang w:val="zh-CN" w:eastAsia="zh-CN" w:bidi="ar-SA"/>
        </w:rPr>
        <w:t>人员服务费</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指为活动临时聘请的演艺人员、主持人、后勤保障人员等劳务费用。</w:t>
      </w:r>
    </w:p>
    <w:p>
      <w:pPr>
        <w:widowControl w:val="0"/>
        <w:spacing w:before="60" w:after="60"/>
        <w:jc w:val="center"/>
        <w:rPr>
          <w:rFonts w:ascii="Times New Roman" w:hAnsi="Times New Roman" w:eastAsia="仿宋_GB2312" w:cs="Times New Roman"/>
          <w:b/>
          <w:kern w:val="0"/>
          <w:sz w:val="28"/>
          <w:szCs w:val="32"/>
          <w:lang w:val="en-US" w:eastAsia="zh-CN" w:bidi="ar-SA"/>
        </w:rPr>
      </w:pPr>
      <w:r>
        <w:rPr>
          <w:rFonts w:hint="eastAsia" w:ascii="Times New Roman" w:hAnsi="Times New Roman" w:eastAsia="仿宋_GB2312" w:cs="Times New Roman"/>
          <w:b/>
          <w:kern w:val="0"/>
          <w:sz w:val="28"/>
          <w:szCs w:val="32"/>
          <w:lang w:val="en-US" w:eastAsia="zh-CN" w:bidi="ar-SA"/>
        </w:rPr>
        <w:t>表3-8  和林格尔县大型活动人员服务费控制标准</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8"/>
        <w:gridCol w:w="1443"/>
        <w:gridCol w:w="3161"/>
        <w:gridCol w:w="37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6" w:type="pct"/>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序号</w:t>
            </w:r>
          </w:p>
        </w:tc>
        <w:tc>
          <w:tcPr>
            <w:tcW w:w="796" w:type="pct"/>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人员类型</w:t>
            </w:r>
          </w:p>
        </w:tc>
        <w:tc>
          <w:tcPr>
            <w:tcW w:w="1744" w:type="pct"/>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标准（税前）</w:t>
            </w:r>
          </w:p>
        </w:tc>
        <w:tc>
          <w:tcPr>
            <w:tcW w:w="2063" w:type="pct"/>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6"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1</w:t>
            </w:r>
          </w:p>
        </w:tc>
        <w:tc>
          <w:tcPr>
            <w:tcW w:w="796"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群众演员/礼仪</w:t>
            </w:r>
          </w:p>
        </w:tc>
        <w:tc>
          <w:tcPr>
            <w:tcW w:w="1744"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≤400元/人/场</w:t>
            </w:r>
          </w:p>
        </w:tc>
        <w:tc>
          <w:tcPr>
            <w:tcW w:w="2063"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6"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2</w:t>
            </w:r>
          </w:p>
        </w:tc>
        <w:tc>
          <w:tcPr>
            <w:tcW w:w="796"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本地专业院团演员</w:t>
            </w:r>
          </w:p>
        </w:tc>
        <w:tc>
          <w:tcPr>
            <w:tcW w:w="1744"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≤600-2000元/人/场</w:t>
            </w:r>
          </w:p>
        </w:tc>
        <w:tc>
          <w:tcPr>
            <w:tcW w:w="2063"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指县、市两级专业文艺院团在职演员，需提供院团证明及职称职务。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396"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3</w:t>
            </w:r>
          </w:p>
        </w:tc>
        <w:tc>
          <w:tcPr>
            <w:tcW w:w="796"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特约演员/网红</w:t>
            </w:r>
          </w:p>
        </w:tc>
        <w:tc>
          <w:tcPr>
            <w:tcW w:w="1744"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实行专项审批与市场询价。</w:t>
            </w:r>
          </w:p>
        </w:tc>
        <w:tc>
          <w:tcPr>
            <w:tcW w:w="2063" w:type="pct"/>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费用需与市场影响力、演出时长挂钩，并签订正式合同。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6"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4</w:t>
            </w:r>
          </w:p>
        </w:tc>
        <w:tc>
          <w:tcPr>
            <w:tcW w:w="796"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主持人</w:t>
            </w:r>
          </w:p>
        </w:tc>
        <w:tc>
          <w:tcPr>
            <w:tcW w:w="1744" w:type="pct"/>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县级活动≤5000元/场；</w:t>
            </w:r>
          </w:p>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18"/>
                <w:lang w:val="zh-CN" w:eastAsia="zh-CN" w:bidi="ar-SA"/>
              </w:rPr>
              <w:t>市级及以上规格活动≤30000元/场。</w:t>
            </w:r>
          </w:p>
        </w:tc>
        <w:tc>
          <w:tcPr>
            <w:tcW w:w="2063"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6"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5</w:t>
            </w:r>
          </w:p>
        </w:tc>
        <w:tc>
          <w:tcPr>
            <w:tcW w:w="796"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18"/>
                <w:lang w:val="zh-CN" w:eastAsia="zh-CN" w:bidi="ar-SA"/>
              </w:rPr>
            </w:pPr>
            <w:r>
              <w:rPr>
                <w:rFonts w:hint="eastAsia" w:ascii="Times New Roman" w:hAnsi="Times New Roman" w:eastAsia="仿宋_GB2312" w:cs="宋体"/>
                <w:bCs/>
                <w:color w:val="000000"/>
                <w:kern w:val="0"/>
                <w:sz w:val="24"/>
                <w:szCs w:val="18"/>
                <w:lang w:val="zh-CN" w:eastAsia="zh-CN" w:bidi="ar-SA"/>
              </w:rPr>
              <w:t>保洁人员</w:t>
            </w:r>
          </w:p>
        </w:tc>
        <w:tc>
          <w:tcPr>
            <w:tcW w:w="1744"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18"/>
                <w:lang w:val="zh-CN" w:eastAsia="zh-CN" w:bidi="ar-SA"/>
              </w:rPr>
            </w:pPr>
            <w:r>
              <w:rPr>
                <w:rFonts w:hint="eastAsia" w:ascii="Times New Roman" w:hAnsi="Times New Roman" w:eastAsia="仿宋_GB2312" w:cs="宋体"/>
                <w:bCs/>
                <w:color w:val="000000"/>
                <w:kern w:val="0"/>
                <w:sz w:val="24"/>
                <w:szCs w:val="18"/>
                <w:lang w:val="zh-CN" w:eastAsia="zh-CN" w:bidi="ar-SA"/>
              </w:rPr>
              <w:t>≤100元/人/天</w:t>
            </w:r>
          </w:p>
        </w:tc>
        <w:tc>
          <w:tcPr>
            <w:tcW w:w="2063"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18"/>
                <w:lang w:val="zh-CN" w:eastAsia="zh-CN" w:bidi="ar-SA"/>
              </w:rPr>
            </w:pPr>
            <w:r>
              <w:rPr>
                <w:rFonts w:hint="eastAsia" w:ascii="Times New Roman" w:hAnsi="Times New Roman" w:eastAsia="仿宋_GB2312" w:cs="宋体"/>
                <w:bCs/>
                <w:color w:val="000000"/>
                <w:kern w:val="0"/>
                <w:sz w:val="24"/>
                <w:szCs w:val="18"/>
                <w:lang w:val="zh-CN" w:eastAsia="zh-CN" w:bidi="ar-SA"/>
              </w:rPr>
              <w:t>参考本地保安服务市场日薪</w:t>
            </w:r>
          </w:p>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18"/>
                <w:lang w:val="zh-CN" w:eastAsia="zh-CN" w:bidi="ar-SA"/>
              </w:rPr>
            </w:pPr>
            <w:r>
              <w:rPr>
                <w:rFonts w:hint="eastAsia" w:ascii="Times New Roman" w:hAnsi="Times New Roman" w:eastAsia="仿宋_GB2312" w:cs="宋体"/>
                <w:bCs/>
                <w:color w:val="000000"/>
                <w:kern w:val="0"/>
                <w:sz w:val="24"/>
                <w:szCs w:val="18"/>
                <w:lang w:val="zh-CN" w:eastAsia="zh-CN" w:bidi="ar-SA"/>
              </w:rPr>
              <w:t>（8小时）。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6"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6</w:t>
            </w:r>
          </w:p>
        </w:tc>
        <w:tc>
          <w:tcPr>
            <w:tcW w:w="796"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18"/>
                <w:lang w:val="zh-CN" w:eastAsia="zh-CN" w:bidi="ar-SA"/>
              </w:rPr>
            </w:pPr>
            <w:r>
              <w:rPr>
                <w:rFonts w:hint="eastAsia" w:ascii="Times New Roman" w:hAnsi="Times New Roman" w:eastAsia="仿宋_GB2312" w:cs="宋体"/>
                <w:bCs/>
                <w:color w:val="000000"/>
                <w:kern w:val="0"/>
                <w:sz w:val="24"/>
                <w:szCs w:val="18"/>
                <w:lang w:val="zh-CN" w:eastAsia="zh-CN" w:bidi="ar-SA"/>
              </w:rPr>
              <w:t>安保人员</w:t>
            </w:r>
          </w:p>
        </w:tc>
        <w:tc>
          <w:tcPr>
            <w:tcW w:w="1744"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18"/>
                <w:lang w:val="zh-CN" w:eastAsia="zh-CN" w:bidi="ar-SA"/>
              </w:rPr>
            </w:pPr>
            <w:r>
              <w:rPr>
                <w:rFonts w:hint="eastAsia" w:ascii="Times New Roman" w:hAnsi="Times New Roman" w:eastAsia="仿宋_GB2312" w:cs="宋体"/>
                <w:bCs/>
                <w:color w:val="000000"/>
                <w:kern w:val="0"/>
                <w:sz w:val="24"/>
                <w:szCs w:val="18"/>
                <w:lang w:val="zh-CN" w:eastAsia="zh-CN" w:bidi="ar-SA"/>
              </w:rPr>
              <w:t>≤280元/人/天</w:t>
            </w:r>
          </w:p>
        </w:tc>
        <w:tc>
          <w:tcPr>
            <w:tcW w:w="2063"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18"/>
                <w:lang w:val="zh-CN" w:eastAsia="zh-CN" w:bidi="ar-SA"/>
              </w:rPr>
            </w:pPr>
            <w:r>
              <w:rPr>
                <w:rFonts w:hint="eastAsia" w:ascii="Times New Roman" w:hAnsi="Times New Roman" w:eastAsia="仿宋_GB2312" w:cs="宋体"/>
                <w:bCs/>
                <w:color w:val="000000"/>
                <w:kern w:val="0"/>
                <w:sz w:val="24"/>
                <w:szCs w:val="18"/>
                <w:lang w:val="zh-CN" w:eastAsia="zh-CN" w:bidi="ar-SA"/>
              </w:rPr>
              <w:t>参考本地保安服务市场日薪。</w:t>
            </w:r>
          </w:p>
        </w:tc>
      </w:tr>
    </w:tbl>
    <w:p>
      <w:pPr>
        <w:keepNext/>
        <w:keepLines/>
        <w:pageBreakBefore w:val="0"/>
        <w:widowControl w:val="0"/>
        <w:numPr>
          <w:ilvl w:val="2"/>
          <w:numId w:val="2"/>
        </w:numPr>
        <w:kinsoku/>
        <w:wordWrap/>
        <w:overflowPunct/>
        <w:topLinePunct w:val="0"/>
        <w:autoSpaceDE/>
        <w:autoSpaceDN/>
        <w:bidi w:val="0"/>
        <w:adjustRightInd w:val="0"/>
        <w:snapToGrid/>
        <w:spacing w:before="120" w:after="60" w:line="520" w:lineRule="exact"/>
        <w:ind w:left="0" w:firstLine="642" w:firstLineChars="200"/>
        <w:jc w:val="both"/>
        <w:textAlignment w:val="auto"/>
        <w:outlineLvl w:val="2"/>
        <w:rPr>
          <w:rFonts w:ascii="Times New Roman" w:hAnsi="Times New Roman" w:eastAsia="仿宋_GB2312" w:cs="Times New Roman"/>
          <w:b/>
          <w:bCs/>
          <w:kern w:val="0"/>
          <w:sz w:val="32"/>
          <w:szCs w:val="36"/>
          <w:lang w:val="zh-CN" w:eastAsia="zh-CN" w:bidi="ar-SA"/>
        </w:rPr>
      </w:pPr>
      <w:r>
        <w:rPr>
          <w:rFonts w:hint="eastAsia" w:ascii="Times New Roman" w:hAnsi="Times New Roman" w:eastAsia="仿宋_GB2312" w:cs="Times New Roman"/>
          <w:b/>
          <w:bCs/>
          <w:kern w:val="0"/>
          <w:sz w:val="32"/>
          <w:szCs w:val="36"/>
          <w:lang w:val="zh-CN" w:eastAsia="zh-CN" w:bidi="ar-SA"/>
        </w:rPr>
        <w:t>媒体宣传费</w:t>
      </w:r>
    </w:p>
    <w:p>
      <w:pPr>
        <w:pageBreakBefore w:val="0"/>
        <w:widowControl w:val="0"/>
        <w:kinsoku/>
        <w:wordWrap/>
        <w:overflowPunct/>
        <w:topLinePunct w:val="0"/>
        <w:autoSpaceDE/>
        <w:autoSpaceDN/>
        <w:bidi w:val="0"/>
        <w:snapToGrid/>
        <w:spacing w:line="520" w:lineRule="exact"/>
        <w:ind w:firstLine="640" w:firstLineChars="200"/>
        <w:jc w:val="both"/>
        <w:textAlignment w:val="auto"/>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指</w:t>
      </w:r>
      <w:r>
        <w:rPr>
          <w:rFonts w:ascii="Times New Roman" w:hAnsi="Times New Roman" w:eastAsia="仿宋_GB2312" w:cs="Times New Roman"/>
          <w:kern w:val="0"/>
          <w:sz w:val="32"/>
          <w:szCs w:val="32"/>
          <w:lang w:val="zh-CN" w:eastAsia="zh-CN" w:bidi="ar-SA"/>
        </w:rPr>
        <w:t>摄影摄像、直播、宣传片制作、广告投放等</w:t>
      </w:r>
      <w:r>
        <w:rPr>
          <w:rFonts w:hint="eastAsia" w:ascii="Times New Roman" w:hAnsi="Times New Roman" w:eastAsia="仿宋_GB2312" w:cs="Times New Roman"/>
          <w:kern w:val="0"/>
          <w:sz w:val="32"/>
          <w:szCs w:val="32"/>
          <w:lang w:val="zh-CN" w:eastAsia="zh-CN" w:bidi="ar-SA"/>
        </w:rPr>
        <w:t>，控制在活动总费用的5%以内，其中传统媒体与新媒体投放比例由主办方根据宣传策略合理分配。</w:t>
      </w:r>
    </w:p>
    <w:p>
      <w:pPr>
        <w:keepNext/>
        <w:keepLines/>
        <w:pageBreakBefore w:val="0"/>
        <w:widowControl w:val="0"/>
        <w:numPr>
          <w:ilvl w:val="2"/>
          <w:numId w:val="2"/>
        </w:numPr>
        <w:kinsoku/>
        <w:wordWrap/>
        <w:overflowPunct/>
        <w:topLinePunct w:val="0"/>
        <w:autoSpaceDE/>
        <w:autoSpaceDN/>
        <w:bidi w:val="0"/>
        <w:adjustRightInd w:val="0"/>
        <w:snapToGrid/>
        <w:spacing w:before="120" w:after="60" w:line="520" w:lineRule="exact"/>
        <w:ind w:left="0" w:firstLine="642" w:firstLineChars="200"/>
        <w:jc w:val="both"/>
        <w:textAlignment w:val="auto"/>
        <w:outlineLvl w:val="2"/>
        <w:rPr>
          <w:rFonts w:ascii="Times New Roman" w:hAnsi="Times New Roman" w:eastAsia="仿宋_GB2312" w:cs="Times New Roman"/>
          <w:b/>
          <w:bCs/>
          <w:kern w:val="0"/>
          <w:sz w:val="32"/>
          <w:szCs w:val="36"/>
          <w:lang w:val="zh-CN" w:eastAsia="zh-CN" w:bidi="ar-SA"/>
        </w:rPr>
      </w:pPr>
      <w:r>
        <w:rPr>
          <w:rFonts w:hint="eastAsia" w:ascii="Times New Roman" w:hAnsi="Times New Roman" w:eastAsia="仿宋_GB2312" w:cs="Times New Roman"/>
          <w:b/>
          <w:bCs/>
          <w:kern w:val="0"/>
          <w:sz w:val="32"/>
          <w:szCs w:val="36"/>
          <w:lang w:val="zh-CN" w:eastAsia="zh-CN" w:bidi="ar-SA"/>
        </w:rPr>
        <w:t>食宿费</w:t>
      </w:r>
    </w:p>
    <w:p>
      <w:pPr>
        <w:pageBreakBefore w:val="0"/>
        <w:widowControl w:val="0"/>
        <w:kinsoku/>
        <w:wordWrap/>
        <w:overflowPunct/>
        <w:topLinePunct w:val="0"/>
        <w:autoSpaceDE/>
        <w:autoSpaceDN/>
        <w:bidi w:val="0"/>
        <w:snapToGrid/>
        <w:spacing w:line="520" w:lineRule="exact"/>
        <w:ind w:firstLine="640" w:firstLineChars="200"/>
        <w:jc w:val="both"/>
        <w:textAlignment w:val="auto"/>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指</w:t>
      </w:r>
      <w:r>
        <w:rPr>
          <w:rFonts w:ascii="Times New Roman" w:hAnsi="Times New Roman" w:eastAsia="仿宋_GB2312" w:cs="Times New Roman"/>
          <w:kern w:val="0"/>
          <w:sz w:val="32"/>
          <w:szCs w:val="32"/>
          <w:lang w:val="zh-CN" w:eastAsia="zh-CN" w:bidi="ar-SA"/>
        </w:rPr>
        <w:t>嘉宾、演职人员住宿</w:t>
      </w:r>
      <w:r>
        <w:rPr>
          <w:rFonts w:hint="eastAsia" w:ascii="Times New Roman" w:hAnsi="Times New Roman" w:eastAsia="仿宋_GB2312" w:cs="Times New Roman"/>
          <w:kern w:val="0"/>
          <w:sz w:val="32"/>
          <w:szCs w:val="32"/>
          <w:lang w:val="zh-CN" w:eastAsia="zh-CN" w:bidi="ar-SA"/>
        </w:rPr>
        <w:t>。住宿标准参照县级党政机关会议定点场所协议价执行，县内举办住宿费不得超过280元/间/天，当地人员原则性不提供住宿，伙食补助按80元/人/天标准执行。</w:t>
      </w:r>
    </w:p>
    <w:p>
      <w:pPr>
        <w:keepNext/>
        <w:keepLines/>
        <w:pageBreakBefore w:val="0"/>
        <w:widowControl w:val="0"/>
        <w:numPr>
          <w:ilvl w:val="2"/>
          <w:numId w:val="2"/>
        </w:numPr>
        <w:kinsoku/>
        <w:wordWrap/>
        <w:overflowPunct/>
        <w:topLinePunct w:val="0"/>
        <w:autoSpaceDE/>
        <w:autoSpaceDN/>
        <w:bidi w:val="0"/>
        <w:adjustRightInd w:val="0"/>
        <w:snapToGrid/>
        <w:spacing w:before="120" w:after="60" w:line="520" w:lineRule="exact"/>
        <w:ind w:left="0" w:firstLine="642" w:firstLineChars="200"/>
        <w:jc w:val="both"/>
        <w:textAlignment w:val="auto"/>
        <w:outlineLvl w:val="2"/>
        <w:rPr>
          <w:rFonts w:ascii="Times New Roman" w:hAnsi="Times New Roman" w:eastAsia="仿宋_GB2312" w:cs="Times New Roman"/>
          <w:b/>
          <w:bCs/>
          <w:kern w:val="0"/>
          <w:sz w:val="32"/>
          <w:szCs w:val="36"/>
          <w:lang w:val="zh-CN" w:eastAsia="zh-CN" w:bidi="ar-SA"/>
        </w:rPr>
      </w:pPr>
      <w:r>
        <w:rPr>
          <w:rFonts w:hint="eastAsia" w:ascii="Times New Roman" w:hAnsi="Times New Roman" w:eastAsia="仿宋_GB2312" w:cs="Times New Roman"/>
          <w:b/>
          <w:bCs/>
          <w:kern w:val="0"/>
          <w:sz w:val="32"/>
          <w:szCs w:val="36"/>
          <w:lang w:val="zh-CN" w:eastAsia="zh-CN" w:bidi="ar-SA"/>
        </w:rPr>
        <w:t>其他费用</w:t>
      </w:r>
    </w:p>
    <w:p>
      <w:pPr>
        <w:pageBreakBefore w:val="0"/>
        <w:widowControl w:val="0"/>
        <w:kinsoku/>
        <w:wordWrap/>
        <w:overflowPunct/>
        <w:topLinePunct w:val="0"/>
        <w:autoSpaceDE/>
        <w:autoSpaceDN/>
        <w:bidi w:val="0"/>
        <w:snapToGrid/>
        <w:spacing w:line="520" w:lineRule="exact"/>
        <w:ind w:firstLine="640" w:firstLineChars="200"/>
        <w:jc w:val="both"/>
        <w:textAlignment w:val="auto"/>
        <w:rPr>
          <w:rFonts w:hint="eastAsia"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其他费用包括场地租赁、动力电、车辆租赁、保险及不可预见费等。</w:t>
      </w:r>
    </w:p>
    <w:p>
      <w:pPr>
        <w:pageBreakBefore w:val="0"/>
        <w:widowControl w:val="0"/>
        <w:kinsoku/>
        <w:wordWrap/>
        <w:overflowPunct/>
        <w:topLinePunct w:val="0"/>
        <w:autoSpaceDE/>
        <w:autoSpaceDN/>
        <w:bidi w:val="0"/>
        <w:snapToGrid/>
        <w:spacing w:line="520" w:lineRule="exact"/>
        <w:ind w:firstLine="640" w:firstLineChars="200"/>
        <w:jc w:val="both"/>
        <w:textAlignment w:val="auto"/>
        <w:rPr>
          <w:rFonts w:hint="eastAsia" w:ascii="Times New Roman" w:hAnsi="Times New Roman" w:eastAsia="仿宋_GB2312" w:cs="Times New Roman"/>
          <w:kern w:val="0"/>
          <w:sz w:val="32"/>
          <w:szCs w:val="32"/>
          <w:lang w:val="zh-CN" w:eastAsia="zh-CN" w:bidi="ar-SA"/>
        </w:rPr>
      </w:pPr>
    </w:p>
    <w:p>
      <w:pPr>
        <w:pageBreakBefore w:val="0"/>
        <w:widowControl w:val="0"/>
        <w:kinsoku/>
        <w:wordWrap/>
        <w:overflowPunct/>
        <w:topLinePunct w:val="0"/>
        <w:autoSpaceDE/>
        <w:autoSpaceDN/>
        <w:bidi w:val="0"/>
        <w:snapToGrid/>
        <w:spacing w:line="520" w:lineRule="exact"/>
        <w:ind w:firstLine="640" w:firstLineChars="200"/>
        <w:jc w:val="both"/>
        <w:textAlignment w:val="auto"/>
        <w:rPr>
          <w:rFonts w:hint="eastAsia" w:ascii="Times New Roman" w:hAnsi="Times New Roman" w:eastAsia="仿宋_GB2312" w:cs="Times New Roman"/>
          <w:kern w:val="0"/>
          <w:sz w:val="32"/>
          <w:szCs w:val="32"/>
          <w:lang w:val="zh-CN" w:eastAsia="zh-CN" w:bidi="ar-SA"/>
        </w:rPr>
      </w:pPr>
    </w:p>
    <w:p>
      <w:pPr>
        <w:pageBreakBefore w:val="0"/>
        <w:widowControl w:val="0"/>
        <w:kinsoku/>
        <w:wordWrap/>
        <w:overflowPunct/>
        <w:topLinePunct w:val="0"/>
        <w:autoSpaceDE/>
        <w:autoSpaceDN/>
        <w:bidi w:val="0"/>
        <w:snapToGrid/>
        <w:spacing w:line="520" w:lineRule="exact"/>
        <w:ind w:firstLine="640" w:firstLineChars="200"/>
        <w:jc w:val="both"/>
        <w:textAlignment w:val="auto"/>
        <w:rPr>
          <w:rFonts w:hint="eastAsia" w:ascii="Times New Roman" w:hAnsi="Times New Roman" w:eastAsia="仿宋_GB2312" w:cs="Times New Roman"/>
          <w:kern w:val="0"/>
          <w:sz w:val="32"/>
          <w:szCs w:val="32"/>
          <w:lang w:val="zh-CN" w:eastAsia="zh-CN" w:bidi="ar-SA"/>
        </w:rPr>
      </w:pPr>
    </w:p>
    <w:p>
      <w:pPr>
        <w:widowControl w:val="0"/>
        <w:spacing w:before="60" w:after="60"/>
        <w:jc w:val="center"/>
        <w:rPr>
          <w:rFonts w:ascii="Times New Roman" w:hAnsi="Times New Roman" w:eastAsia="仿宋_GB2312" w:cs="Times New Roman"/>
          <w:b/>
          <w:kern w:val="0"/>
          <w:sz w:val="28"/>
          <w:szCs w:val="32"/>
          <w:lang w:val="en-US" w:eastAsia="zh-CN" w:bidi="ar-SA"/>
        </w:rPr>
      </w:pPr>
      <w:r>
        <w:rPr>
          <w:rFonts w:hint="eastAsia" w:ascii="Times New Roman" w:hAnsi="Times New Roman" w:eastAsia="仿宋_GB2312" w:cs="Times New Roman"/>
          <w:b/>
          <w:kern w:val="0"/>
          <w:sz w:val="28"/>
          <w:szCs w:val="32"/>
          <w:lang w:val="en-US" w:eastAsia="zh-CN" w:bidi="ar-SA"/>
        </w:rPr>
        <w:t>表3-9  和林格尔县大型活动其他费用控制标准</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1420"/>
        <w:gridCol w:w="3833"/>
        <w:gridCol w:w="30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5" w:type="pct"/>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序号</w:t>
            </w:r>
          </w:p>
        </w:tc>
        <w:tc>
          <w:tcPr>
            <w:tcW w:w="783" w:type="pct"/>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项目类型</w:t>
            </w:r>
          </w:p>
        </w:tc>
        <w:tc>
          <w:tcPr>
            <w:tcW w:w="2114" w:type="pct"/>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标准</w:t>
            </w:r>
          </w:p>
        </w:tc>
        <w:tc>
          <w:tcPr>
            <w:tcW w:w="1706" w:type="pct"/>
            <w:shd w:val="clear" w:color="auto" w:fill="D8D8D8"/>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val="0"/>
                <w:color w:val="000000"/>
                <w:kern w:val="0"/>
                <w:sz w:val="24"/>
                <w:szCs w:val="24"/>
                <w:lang w:val="zh-CN" w:eastAsia="zh-CN" w:bidi="ar-SA"/>
              </w:rPr>
            </w:pPr>
            <w:r>
              <w:rPr>
                <w:rFonts w:hint="eastAsia" w:ascii="Times New Roman" w:hAnsi="Times New Roman" w:eastAsia="仿宋_GB2312" w:cs="宋体"/>
                <w:b/>
                <w:bCs w:val="0"/>
                <w:color w:val="000000"/>
                <w:kern w:val="0"/>
                <w:sz w:val="24"/>
                <w:szCs w:val="24"/>
                <w:lang w:val="zh-CN" w:eastAsia="zh-CN" w:bidi="ar-SA"/>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5"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1</w:t>
            </w:r>
          </w:p>
        </w:tc>
        <w:tc>
          <w:tcPr>
            <w:tcW w:w="783"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en-US" w:eastAsia="zh-CN" w:bidi="ar-SA"/>
              </w:rPr>
              <w:t>场地租赁费</w:t>
            </w:r>
          </w:p>
        </w:tc>
        <w:tc>
          <w:tcPr>
            <w:tcW w:w="2114" w:type="pct"/>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Segoe UI" w:eastAsia="仿宋_GB2312" w:cs="Segoe UI"/>
                <w:bCs/>
                <w:color w:val="0F1115"/>
                <w:kern w:val="0"/>
                <w:sz w:val="24"/>
                <w:szCs w:val="24"/>
                <w:lang w:val="zh-CN" w:eastAsia="zh-CN" w:bidi="ar-SA"/>
              </w:rPr>
              <w:t>优先使用公共免费场地。若需租赁，实行</w:t>
            </w:r>
            <w:r>
              <w:rPr>
                <w:rFonts w:hint="eastAsia" w:ascii="仿宋_GB2312" w:hAnsi="Segoe UI" w:eastAsia="等线" w:cs="Segoe UI"/>
                <w:b/>
                <w:bCs w:val="0"/>
                <w:color w:val="0F1115"/>
                <w:kern w:val="2"/>
                <w:sz w:val="22"/>
                <w:szCs w:val="22"/>
                <w:lang w:val="en-US" w:eastAsia="zh-CN" w:bidi="ar-SA"/>
              </w:rPr>
              <w:t>市场询价备案</w:t>
            </w:r>
            <w:r>
              <w:rPr>
                <w:rFonts w:hint="eastAsia" w:ascii="Times New Roman" w:hAnsi="Segoe UI" w:eastAsia="仿宋_GB2312" w:cs="Segoe UI"/>
                <w:bCs/>
                <w:color w:val="0F1115"/>
                <w:kern w:val="0"/>
                <w:sz w:val="24"/>
                <w:szCs w:val="24"/>
                <w:lang w:val="zh-CN" w:eastAsia="zh-CN" w:bidi="ar-SA"/>
              </w:rPr>
              <w:t>。</w:t>
            </w:r>
          </w:p>
        </w:tc>
        <w:tc>
          <w:tcPr>
            <w:tcW w:w="1706"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Segoe UI" w:eastAsia="仿宋_GB2312" w:cs="Segoe UI"/>
                <w:bCs/>
                <w:color w:val="0F1115"/>
                <w:kern w:val="0"/>
                <w:sz w:val="24"/>
                <w:szCs w:val="24"/>
                <w:lang w:val="zh-CN" w:eastAsia="zh-CN" w:bidi="ar-SA"/>
              </w:rPr>
              <w:t>对长期合作场馆（如景区），推动签订年度协议价。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5"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2</w:t>
            </w:r>
          </w:p>
        </w:tc>
        <w:tc>
          <w:tcPr>
            <w:tcW w:w="783"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en-US" w:eastAsia="zh-CN" w:bidi="ar-SA"/>
              </w:rPr>
              <w:t>动力电与设施费</w:t>
            </w:r>
          </w:p>
        </w:tc>
        <w:tc>
          <w:tcPr>
            <w:tcW w:w="2114" w:type="pct"/>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Segoe UI" w:eastAsia="仿宋_GB2312" w:cs="Segoe UI"/>
                <w:bCs/>
                <w:color w:val="0F1115"/>
                <w:kern w:val="0"/>
                <w:sz w:val="24"/>
                <w:szCs w:val="24"/>
                <w:lang w:val="zh-CN" w:eastAsia="zh-CN" w:bidi="ar-SA"/>
              </w:rPr>
              <w:t>按活动方案核定用电量及设施需求，凭场馆方或电力公司正式发票据实结算。</w:t>
            </w:r>
          </w:p>
        </w:tc>
        <w:tc>
          <w:tcPr>
            <w:tcW w:w="1706"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Segoe UI" w:eastAsia="仿宋_GB2312" w:cs="Segoe UI"/>
                <w:bCs/>
                <w:color w:val="0F1115"/>
                <w:kern w:val="0"/>
                <w:sz w:val="24"/>
                <w:szCs w:val="24"/>
                <w:lang w:val="zh-CN" w:eastAsia="zh-CN" w:bidi="ar-SA"/>
              </w:rPr>
              <w:t>预算中需提供测算依据。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395"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3</w:t>
            </w:r>
          </w:p>
        </w:tc>
        <w:tc>
          <w:tcPr>
            <w:tcW w:w="783"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车辆租赁</w:t>
            </w:r>
          </w:p>
        </w:tc>
        <w:tc>
          <w:tcPr>
            <w:tcW w:w="2114"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大巴（50座）：≤1500元/辆/天；</w:t>
            </w:r>
          </w:p>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中巴（25座）：≤1000元/辆/天</w:t>
            </w:r>
          </w:p>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小车：≤800元/辆/天</w:t>
            </w:r>
          </w:p>
        </w:tc>
        <w:tc>
          <w:tcPr>
            <w:tcW w:w="1706" w:type="pct"/>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因跨辖区作业额外产生的车辆通行费及燃油费用，经双方协商确认后据实结算。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5"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4</w:t>
            </w:r>
          </w:p>
        </w:tc>
        <w:tc>
          <w:tcPr>
            <w:tcW w:w="783"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不可预见费</w:t>
            </w:r>
          </w:p>
        </w:tc>
        <w:tc>
          <w:tcPr>
            <w:tcW w:w="2114" w:type="pct"/>
            <w:vAlign w:val="center"/>
          </w:tcPr>
          <w:p>
            <w:pPr>
              <w:keepNext w:val="0"/>
              <w:keepLines w:val="0"/>
              <w:widowControl/>
              <w:suppressLineNumbers w:val="0"/>
              <w:spacing w:before="0" w:beforeAutospacing="0" w:after="0" w:afterAutospacing="0" w:line="320" w:lineRule="exact"/>
              <w:ind w:left="0" w:right="0" w:firstLine="0" w:firstLineChars="0"/>
              <w:jc w:val="center"/>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按活动总预算的3%计提，用于应对临时变更、应急保障等。</w:t>
            </w:r>
          </w:p>
        </w:tc>
        <w:tc>
          <w:tcPr>
            <w:tcW w:w="1706" w:type="pct"/>
            <w:vAlign w:val="center"/>
          </w:tcPr>
          <w:p>
            <w:pPr>
              <w:keepNext w:val="0"/>
              <w:keepLines w:val="0"/>
              <w:widowControl/>
              <w:suppressLineNumbers w:val="0"/>
              <w:spacing w:before="0" w:beforeAutospacing="0" w:after="0" w:afterAutospacing="0" w:line="320" w:lineRule="exact"/>
              <w:ind w:left="0" w:right="0" w:firstLine="0" w:firstLineChars="0"/>
              <w:jc w:val="left"/>
              <w:rPr>
                <w:rFonts w:hint="default" w:ascii="Times New Roman" w:hAnsi="Times New Roman" w:eastAsia="仿宋_GB2312" w:cs="宋体"/>
                <w:bCs/>
                <w:color w:val="000000"/>
                <w:kern w:val="0"/>
                <w:sz w:val="24"/>
                <w:szCs w:val="24"/>
                <w:lang w:val="zh-CN" w:eastAsia="zh-CN" w:bidi="ar-SA"/>
              </w:rPr>
            </w:pPr>
            <w:r>
              <w:rPr>
                <w:rFonts w:hint="eastAsia" w:ascii="Times New Roman" w:hAnsi="Times New Roman" w:eastAsia="仿宋_GB2312" w:cs="宋体"/>
                <w:bCs/>
                <w:color w:val="000000"/>
                <w:kern w:val="0"/>
                <w:sz w:val="24"/>
                <w:szCs w:val="24"/>
                <w:lang w:val="zh-CN" w:eastAsia="zh-CN" w:bidi="ar-SA"/>
              </w:rPr>
              <w:t>不可预见费支出须经主办部门负责人事前专项审批。涉及重大或特殊情形的，应报请集体研究决定。</w:t>
            </w:r>
          </w:p>
        </w:tc>
      </w:tr>
    </w:tbl>
    <w:p>
      <w:pPr>
        <w:widowControl w:val="0"/>
        <w:numPr>
          <w:ilvl w:val="0"/>
          <w:numId w:val="2"/>
        </w:numPr>
        <w:adjustRightInd w:val="0"/>
        <w:spacing w:before="120" w:after="60" w:line="500" w:lineRule="exact"/>
        <w:ind w:left="0" w:firstLine="720" w:firstLineChars="200"/>
        <w:jc w:val="left"/>
        <w:outlineLvl w:val="0"/>
        <w:rPr>
          <w:rFonts w:ascii="Times New Roman" w:hAnsi="Times New Roman" w:eastAsia="黑体" w:cs="Times New Roman"/>
          <w:bCs/>
          <w:kern w:val="44"/>
          <w:sz w:val="36"/>
          <w:szCs w:val="48"/>
          <w:lang w:val="zh-CN" w:eastAsia="zh-CN" w:bidi="ar-SA"/>
        </w:rPr>
      </w:pPr>
      <w:r>
        <w:rPr>
          <w:rFonts w:ascii="Times New Roman" w:hAnsi="Times New Roman" w:eastAsia="黑体" w:cs="Times New Roman"/>
          <w:bCs/>
          <w:kern w:val="44"/>
          <w:sz w:val="36"/>
          <w:szCs w:val="48"/>
          <w:lang w:val="zh-CN" w:eastAsia="zh-CN" w:bidi="ar-SA"/>
        </w:rPr>
        <w:t>其他说明</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标准性质：本标准为预算编制与审核的上限控制标准。主办单位应坚持厉行节约，在满足活动基本需求的前提下，优先选用性价比高的服务及物料。实际采购价格低于本标准的，据实结算。</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特殊事项：因活动规格、创新形式等特殊原因确需突破本标准的，主办单位应履行“一事一议”专项报批程序，由县财政局会同业务主管部门论证批准后执行。</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打包合同：对涉及打包服务的采购合同，主办单位应在招标文件及合同文本中明确要求供应商按本标准的大类及细项提供费用构成清单，作为资金支付的审核依据。</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动态调整：县财政局会同业务主管部门将根据经济社会发展、市场价格变动及上级政策要求，定期对本标准进行评估并实施动态更新。</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仿宋_GB2312" w:hAnsi="仿宋_GB2312" w:eastAsia="仿宋_GB2312" w:cs="仿宋_GB2312"/>
          <w:kern w:val="0"/>
          <w:sz w:val="32"/>
          <w:szCs w:val="32"/>
          <w:lang w:val="zh-CN" w:eastAsia="zh-CN" w:bidi="ar-SA"/>
        </w:rPr>
        <w:t>专业赛事：</w:t>
      </w:r>
      <w:r>
        <w:rPr>
          <w:rFonts w:hint="eastAsia" w:ascii="Times New Roman" w:hAnsi="Times New Roman" w:eastAsia="仿宋_GB2312" w:cs="Times New Roman"/>
          <w:kern w:val="0"/>
          <w:sz w:val="32"/>
          <w:szCs w:val="32"/>
          <w:lang w:val="zh-CN" w:eastAsia="zh-CN" w:bidi="ar-SA"/>
        </w:rPr>
        <w:t>如举办专业赛事，其媒体宣传支出标准另行制定。</w:t>
      </w:r>
    </w:p>
    <w:p>
      <w:pPr>
        <w:widowControl w:val="0"/>
        <w:spacing w:line="500" w:lineRule="exact"/>
        <w:ind w:firstLine="640" w:firstLineChars="200"/>
        <w:jc w:val="both"/>
        <w:rPr>
          <w:rFonts w:hint="eastAsia" w:ascii="仿宋_GB2312" w:hAnsi="仿宋_GB2312" w:eastAsia="仿宋_GB2312" w:cs="仿宋_GB2312"/>
          <w:kern w:val="0"/>
          <w:sz w:val="32"/>
          <w:szCs w:val="32"/>
          <w:lang w:val="zh-CN" w:eastAsia="zh-CN" w:bidi="ar-SA"/>
        </w:rPr>
      </w:pPr>
      <w:r>
        <w:rPr>
          <w:rFonts w:hint="eastAsia" w:ascii="仿宋_GB2312" w:hAnsi="仿宋_GB2312" w:eastAsia="仿宋_GB2312" w:cs="仿宋_GB2312"/>
          <w:kern w:val="0"/>
          <w:sz w:val="32"/>
          <w:szCs w:val="32"/>
          <w:lang w:val="zh-CN" w:eastAsia="zh-CN" w:bidi="ar-SA"/>
        </w:rPr>
        <w:t>本支出标准（试行）自印发之日起施行，有效期为两年。</w:t>
      </w:r>
    </w:p>
    <w:p>
      <w:pPr>
        <w:widowControl w:val="0"/>
        <w:spacing w:line="500" w:lineRule="exact"/>
        <w:jc w:val="both"/>
        <w:rPr>
          <w:rFonts w:hint="eastAsia" w:ascii="黑体" w:hAnsi="黑体" w:eastAsia="黑体" w:cs="黑体"/>
          <w:kern w:val="0"/>
          <w:sz w:val="32"/>
          <w:szCs w:val="32"/>
          <w:lang w:val="en-US" w:eastAsia="zh-CN" w:bidi="ar-SA"/>
        </w:rPr>
        <w:sectPr>
          <w:footerReference r:id="rId3" w:type="default"/>
          <w:pgSz w:w="11906" w:h="16838"/>
          <w:pgMar w:top="2098" w:right="1474" w:bottom="1814" w:left="1587" w:header="851" w:footer="1304" w:gutter="0"/>
          <w:pgNumType w:fmt="decimal" w:start="3"/>
          <w:cols w:space="425" w:num="1"/>
          <w:docGrid w:type="lines" w:linePitch="312" w:charSpace="0"/>
        </w:sectPr>
      </w:pPr>
    </w:p>
    <w:p>
      <w:pPr>
        <w:widowControl w:val="0"/>
        <w:spacing w:line="500" w:lineRule="exact"/>
        <w:jc w:val="both"/>
        <w:rPr>
          <w:rFonts w:hint="eastAsia" w:ascii="仿宋_GB2312" w:hAnsi="仿宋_GB2312" w:eastAsia="仿宋_GB2312" w:cs="仿宋_GB2312"/>
          <w:kern w:val="0"/>
          <w:sz w:val="32"/>
          <w:szCs w:val="32"/>
          <w:lang w:val="en-US" w:eastAsia="zh-CN" w:bidi="ar-SA"/>
        </w:rPr>
      </w:pPr>
      <w:r>
        <w:rPr>
          <w:rFonts w:hint="eastAsia" w:ascii="黑体" w:hAnsi="黑体" w:eastAsia="黑体" w:cs="黑体"/>
          <w:kern w:val="0"/>
          <w:sz w:val="32"/>
          <w:szCs w:val="32"/>
          <w:lang w:val="en-US" w:eastAsia="zh-CN" w:bidi="ar-SA"/>
        </w:rPr>
        <w:t>附件二</w:t>
      </w:r>
    </w:p>
    <w:p>
      <w:pPr>
        <w:widowControl w:val="0"/>
        <w:spacing w:before="120" w:after="60" w:line="500" w:lineRule="exact"/>
        <w:ind w:firstLine="800" w:firstLineChars="200"/>
        <w:jc w:val="center"/>
        <w:rPr>
          <w:rFonts w:hint="eastAsia" w:ascii="黑体" w:hAnsi="黑体" w:eastAsia="黑体" w:cs="Times New Roman"/>
          <w:kern w:val="0"/>
          <w:sz w:val="40"/>
          <w:szCs w:val="40"/>
          <w:lang w:val="zh-CN" w:eastAsia="zh-CN" w:bidi="ar"/>
        </w:rPr>
      </w:pPr>
    </w:p>
    <w:p>
      <w:pPr>
        <w:widowControl w:val="0"/>
        <w:spacing w:before="120" w:after="60" w:line="500" w:lineRule="exact"/>
        <w:ind w:firstLine="880" w:firstLineChars="200"/>
        <w:jc w:val="center"/>
        <w:rPr>
          <w:rFonts w:hint="eastAsia" w:ascii="方正小标宋简体" w:hAnsi="方正小标宋简体" w:eastAsia="方正小标宋简体" w:cs="方正小标宋简体"/>
          <w:b w:val="0"/>
          <w:bCs/>
          <w:kern w:val="2"/>
          <w:sz w:val="44"/>
          <w:szCs w:val="44"/>
          <w:lang w:val="en-US" w:eastAsia="zh-CN" w:bidi="ar-SA"/>
        </w:rPr>
      </w:pPr>
      <w:r>
        <w:rPr>
          <w:rFonts w:hint="eastAsia" w:ascii="方正小标宋简体" w:hAnsi="方正小标宋简体" w:eastAsia="方正小标宋简体" w:cs="方正小标宋简体"/>
          <w:b w:val="0"/>
          <w:bCs/>
          <w:kern w:val="2"/>
          <w:sz w:val="44"/>
          <w:szCs w:val="44"/>
          <w:lang w:val="en-US" w:eastAsia="zh-CN" w:bidi="ar-SA"/>
        </w:rPr>
        <w:t>规划费通用支出标准（试行）</w:t>
      </w:r>
    </w:p>
    <w:p>
      <w:pPr>
        <w:widowControl w:val="0"/>
        <w:spacing w:before="120" w:after="60" w:line="500" w:lineRule="exact"/>
        <w:ind w:firstLine="800" w:firstLineChars="200"/>
        <w:jc w:val="center"/>
        <w:rPr>
          <w:rFonts w:hint="eastAsia" w:ascii="黑体" w:hAnsi="黑体" w:eastAsia="黑体" w:cs="Times New Roman"/>
          <w:kern w:val="0"/>
          <w:sz w:val="40"/>
          <w:szCs w:val="40"/>
          <w:lang w:val="zh-CN" w:eastAsia="zh-CN" w:bidi="ar-SA"/>
        </w:rPr>
      </w:pP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
        </w:rPr>
        <w:t>为落实《内蒙古自治区实施零基预算改革三年行动方案（2025—2027年）》《和林格尔县本级零基预算改革实施方案》要求，规范规划费通用项目支出预算管理，根据《城市规划设计计费指导意见》《林业和草原工程建设项目服务计费指导意见》林建协〔2024〕54号等相关规定，以铸牢中华民族共同体意识为主线，结合</w:t>
      </w:r>
      <w:r>
        <w:rPr>
          <w:rFonts w:hint="eastAsia" w:ascii="Times New Roman" w:hAnsi="Times New Roman" w:eastAsia="仿宋_GB2312" w:cs="Times New Roman"/>
          <w:kern w:val="0"/>
          <w:sz w:val="32"/>
          <w:szCs w:val="32"/>
          <w:lang w:val="en-US" w:eastAsia="zh-CN" w:bidi="ar"/>
        </w:rPr>
        <w:t>和林格尔县情况</w:t>
      </w:r>
      <w:r>
        <w:rPr>
          <w:rFonts w:hint="eastAsia" w:ascii="Times New Roman" w:hAnsi="Times New Roman" w:eastAsia="仿宋_GB2312" w:cs="Times New Roman"/>
          <w:kern w:val="0"/>
          <w:sz w:val="32"/>
          <w:szCs w:val="32"/>
          <w:lang w:val="zh-CN" w:eastAsia="zh-CN" w:bidi="ar"/>
        </w:rPr>
        <w:t>，制定本支出标准。</w:t>
      </w:r>
    </w:p>
    <w:p>
      <w:pPr>
        <w:widowControl w:val="0"/>
        <w:numPr>
          <w:ilvl w:val="0"/>
          <w:numId w:val="3"/>
        </w:numPr>
        <w:adjustRightInd w:val="0"/>
        <w:spacing w:before="120" w:after="60" w:line="500" w:lineRule="exact"/>
        <w:ind w:left="0" w:firstLine="720" w:firstLineChars="200"/>
        <w:jc w:val="left"/>
        <w:outlineLvl w:val="0"/>
        <w:rPr>
          <w:rFonts w:ascii="Times New Roman" w:hAnsi="Times New Roman" w:eastAsia="黑体" w:cs="Times New Roman"/>
          <w:bCs/>
          <w:kern w:val="44"/>
          <w:sz w:val="36"/>
          <w:szCs w:val="48"/>
          <w:lang w:val="zh-CN" w:eastAsia="zh-CN" w:bidi="ar-SA"/>
        </w:rPr>
      </w:pPr>
      <w:r>
        <w:rPr>
          <w:rFonts w:ascii="Times New Roman" w:hAnsi="Times New Roman" w:eastAsia="黑体" w:cs="Times New Roman"/>
          <w:bCs/>
          <w:kern w:val="44"/>
          <w:sz w:val="36"/>
          <w:szCs w:val="48"/>
          <w:lang w:val="zh-CN" w:eastAsia="zh-CN" w:bidi="ar-SA"/>
        </w:rPr>
        <w:t>适用范围</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本规定适用于县自然资源局、林业和草原局、发展和改革委员会</w:t>
      </w:r>
      <w:r>
        <w:rPr>
          <w:rFonts w:hint="eastAsia" w:ascii="Times New Roman" w:hAnsi="Times New Roman" w:eastAsia="仿宋_GB2312" w:cs="Times New Roman"/>
          <w:kern w:val="0"/>
          <w:sz w:val="32"/>
          <w:szCs w:val="32"/>
          <w:lang w:val="en-US" w:eastAsia="zh-CN" w:bidi="ar-SA"/>
        </w:rPr>
        <w:t>等主管部门规划编制</w:t>
      </w:r>
      <w:r>
        <w:rPr>
          <w:rFonts w:hint="eastAsia" w:ascii="Times New Roman" w:hAnsi="Times New Roman" w:eastAsia="仿宋_GB2312" w:cs="Times New Roman"/>
          <w:kern w:val="0"/>
          <w:sz w:val="32"/>
          <w:szCs w:val="32"/>
          <w:lang w:val="zh-CN" w:eastAsia="zh-CN" w:bidi="ar-SA"/>
        </w:rPr>
        <w:t>项目预算支出。</w:t>
      </w:r>
    </w:p>
    <w:p>
      <w:pPr>
        <w:widowControl w:val="0"/>
        <w:numPr>
          <w:ilvl w:val="0"/>
          <w:numId w:val="3"/>
        </w:numPr>
        <w:adjustRightInd w:val="0"/>
        <w:spacing w:before="120" w:after="60" w:line="500" w:lineRule="exact"/>
        <w:ind w:left="0" w:firstLine="720" w:firstLineChars="200"/>
        <w:jc w:val="left"/>
        <w:outlineLvl w:val="0"/>
        <w:rPr>
          <w:rFonts w:ascii="Times New Roman" w:hAnsi="Times New Roman" w:eastAsia="黑体" w:cs="Times New Roman"/>
          <w:bCs/>
          <w:kern w:val="44"/>
          <w:sz w:val="36"/>
          <w:szCs w:val="48"/>
          <w:lang w:val="zh-CN" w:eastAsia="zh-CN" w:bidi="ar-SA"/>
        </w:rPr>
      </w:pPr>
      <w:r>
        <w:rPr>
          <w:rFonts w:hint="eastAsia" w:ascii="Times New Roman" w:hAnsi="Times New Roman" w:eastAsia="黑体" w:cs="Times New Roman"/>
          <w:bCs/>
          <w:kern w:val="44"/>
          <w:sz w:val="36"/>
          <w:szCs w:val="48"/>
          <w:lang w:val="en-US" w:eastAsia="zh-CN" w:bidi="ar-SA"/>
        </w:rPr>
        <w:t>编制</w:t>
      </w:r>
      <w:r>
        <w:rPr>
          <w:rFonts w:ascii="Times New Roman" w:hAnsi="Times New Roman" w:eastAsia="黑体" w:cs="Times New Roman"/>
          <w:bCs/>
          <w:kern w:val="44"/>
          <w:sz w:val="36"/>
          <w:szCs w:val="48"/>
          <w:lang w:val="zh-CN" w:eastAsia="zh-CN" w:bidi="ar-SA"/>
        </w:rPr>
        <w:t>依据</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ascii="Times New Roman" w:hAnsi="Times New Roman" w:eastAsia="仿宋_GB2312" w:cs="Times New Roman"/>
          <w:kern w:val="0"/>
          <w:sz w:val="32"/>
          <w:szCs w:val="32"/>
          <w:lang w:val="zh-CN" w:eastAsia="zh-CN" w:bidi="ar-SA"/>
        </w:rPr>
        <w:t>本标准参照</w:t>
      </w:r>
      <w:r>
        <w:rPr>
          <w:rFonts w:hint="eastAsia" w:ascii="Times New Roman" w:hAnsi="Times New Roman" w:eastAsia="仿宋_GB2312" w:cs="Times New Roman"/>
          <w:kern w:val="0"/>
          <w:sz w:val="32"/>
          <w:szCs w:val="32"/>
          <w:lang w:val="zh-CN" w:eastAsia="zh-CN" w:bidi="ar"/>
        </w:rPr>
        <w:t>《城市规划设计计费指导意见》《林业和草原工程建设项目服务计费指导意见》林建协〔2024〕54号</w:t>
      </w:r>
      <w:r>
        <w:rPr>
          <w:rFonts w:ascii="Times New Roman" w:hAnsi="Times New Roman" w:eastAsia="仿宋_GB2312" w:cs="Times New Roman"/>
          <w:kern w:val="0"/>
          <w:sz w:val="32"/>
          <w:szCs w:val="32"/>
          <w:lang w:val="zh-CN" w:eastAsia="zh-CN" w:bidi="ar-SA"/>
        </w:rPr>
        <w:t>等有关要求，结合</w:t>
      </w:r>
      <w:r>
        <w:rPr>
          <w:rFonts w:hint="eastAsia" w:ascii="Times New Roman" w:hAnsi="Times New Roman" w:eastAsia="仿宋_GB2312" w:cs="Times New Roman"/>
          <w:kern w:val="0"/>
          <w:sz w:val="32"/>
          <w:szCs w:val="32"/>
          <w:lang w:val="en-US" w:eastAsia="zh-CN" w:bidi="ar-SA"/>
        </w:rPr>
        <w:t>规划费</w:t>
      </w:r>
      <w:r>
        <w:rPr>
          <w:rFonts w:ascii="Times New Roman" w:hAnsi="Times New Roman" w:eastAsia="仿宋_GB2312" w:cs="Times New Roman"/>
          <w:kern w:val="0"/>
          <w:sz w:val="32"/>
          <w:szCs w:val="32"/>
          <w:lang w:val="zh-CN" w:eastAsia="zh-CN" w:bidi="ar-SA"/>
        </w:rPr>
        <w:t>项目实施内容制定，是编制和审核</w:t>
      </w:r>
      <w:r>
        <w:rPr>
          <w:rFonts w:hint="eastAsia" w:ascii="Times New Roman" w:hAnsi="Times New Roman" w:eastAsia="仿宋_GB2312" w:cs="Times New Roman"/>
          <w:kern w:val="0"/>
          <w:sz w:val="32"/>
          <w:szCs w:val="32"/>
          <w:lang w:val="en-US" w:eastAsia="zh-CN" w:bidi="ar-SA"/>
        </w:rPr>
        <w:t>规划费</w:t>
      </w:r>
      <w:r>
        <w:rPr>
          <w:rFonts w:ascii="Times New Roman" w:hAnsi="Times New Roman" w:eastAsia="仿宋_GB2312" w:cs="Times New Roman"/>
          <w:kern w:val="0"/>
          <w:sz w:val="32"/>
          <w:szCs w:val="32"/>
          <w:lang w:val="zh-CN" w:eastAsia="zh-CN" w:bidi="ar-SA"/>
        </w:rPr>
        <w:t>项目预算的基本依据。</w:t>
      </w:r>
    </w:p>
    <w:p>
      <w:pPr>
        <w:widowControl w:val="0"/>
        <w:numPr>
          <w:ilvl w:val="0"/>
          <w:numId w:val="3"/>
        </w:numPr>
        <w:adjustRightInd w:val="0"/>
        <w:spacing w:before="120" w:after="60" w:line="500" w:lineRule="exact"/>
        <w:ind w:left="0" w:firstLine="720" w:firstLineChars="200"/>
        <w:jc w:val="left"/>
        <w:outlineLvl w:val="0"/>
        <w:rPr>
          <w:rFonts w:ascii="Times New Roman" w:hAnsi="Times New Roman" w:eastAsia="黑体" w:cs="Times New Roman"/>
          <w:bCs/>
          <w:kern w:val="44"/>
          <w:sz w:val="36"/>
          <w:szCs w:val="48"/>
          <w:lang w:val="zh-CN" w:eastAsia="zh-CN" w:bidi="ar-SA"/>
        </w:rPr>
      </w:pPr>
      <w:r>
        <w:rPr>
          <w:rFonts w:ascii="Times New Roman" w:hAnsi="Times New Roman" w:eastAsia="黑体" w:cs="Times New Roman"/>
          <w:bCs/>
          <w:kern w:val="44"/>
          <w:sz w:val="36"/>
          <w:szCs w:val="48"/>
          <w:lang w:val="zh-CN" w:eastAsia="zh-CN" w:bidi="ar-SA"/>
        </w:rPr>
        <w:t>支出标准</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根据</w:t>
      </w:r>
      <w:r>
        <w:rPr>
          <w:rFonts w:hint="eastAsia" w:ascii="Times New Roman" w:hAnsi="Times New Roman" w:eastAsia="仿宋_GB2312" w:cs="Times New Roman"/>
          <w:kern w:val="0"/>
          <w:sz w:val="32"/>
          <w:szCs w:val="32"/>
          <w:lang w:val="en-US" w:eastAsia="zh-CN" w:bidi="ar-SA"/>
        </w:rPr>
        <w:t>相关政策要求结合市场行情</w:t>
      </w:r>
      <w:r>
        <w:rPr>
          <w:rFonts w:hint="eastAsia" w:ascii="Times New Roman" w:hAnsi="Times New Roman" w:eastAsia="仿宋_GB2312" w:cs="Times New Roman"/>
          <w:kern w:val="0"/>
          <w:sz w:val="32"/>
          <w:szCs w:val="32"/>
          <w:lang w:val="zh-CN" w:eastAsia="zh-CN" w:bidi="ar-SA"/>
        </w:rPr>
        <w:t>形成的</w:t>
      </w:r>
      <w:r>
        <w:rPr>
          <w:rFonts w:hint="eastAsia" w:ascii="Times New Roman" w:hAnsi="Times New Roman" w:eastAsia="仿宋_GB2312" w:cs="Times New Roman"/>
          <w:kern w:val="0"/>
          <w:sz w:val="32"/>
          <w:szCs w:val="32"/>
          <w:lang w:val="en-US" w:eastAsia="zh-CN" w:bidi="ar-SA"/>
        </w:rPr>
        <w:t>和林格尔县规划费通用</w:t>
      </w:r>
      <w:r>
        <w:rPr>
          <w:rFonts w:hint="eastAsia" w:ascii="Times New Roman" w:hAnsi="Times New Roman" w:eastAsia="仿宋_GB2312" w:cs="Times New Roman"/>
          <w:kern w:val="0"/>
          <w:sz w:val="32"/>
          <w:szCs w:val="32"/>
          <w:lang w:val="zh-CN" w:eastAsia="zh-CN" w:bidi="ar-SA"/>
        </w:rPr>
        <w:t>支出标准调研报告，</w:t>
      </w:r>
      <w:r>
        <w:rPr>
          <w:rFonts w:hint="eastAsia" w:ascii="Times New Roman" w:hAnsi="Times New Roman" w:eastAsia="仿宋_GB2312" w:cs="Times New Roman"/>
          <w:kern w:val="0"/>
          <w:sz w:val="32"/>
          <w:szCs w:val="32"/>
          <w:lang w:val="en-US" w:eastAsia="zh-CN" w:bidi="ar-SA"/>
        </w:rPr>
        <w:t>规划</w:t>
      </w:r>
      <w:r>
        <w:rPr>
          <w:rFonts w:hint="eastAsia" w:ascii="Times New Roman" w:hAnsi="Times New Roman" w:eastAsia="仿宋_GB2312" w:cs="Times New Roman"/>
          <w:kern w:val="0"/>
          <w:sz w:val="32"/>
          <w:szCs w:val="32"/>
          <w:lang w:val="zh-CN" w:eastAsia="zh-CN" w:bidi="ar-SA"/>
        </w:rPr>
        <w:t>费支出定额值具体详见下表。</w:t>
      </w:r>
    </w:p>
    <w:p>
      <w:pPr>
        <w:ind w:firstLine="560" w:firstLineChars="200"/>
        <w:jc w:val="center"/>
        <w:rPr>
          <w:rFonts w:hint="eastAsia" w:ascii="等线" w:hAnsi="等线" w:eastAsia="等线" w:cs="Times New Roman"/>
          <w:b/>
          <w:bCs/>
          <w:sz w:val="28"/>
          <w:szCs w:val="28"/>
        </w:rPr>
      </w:pPr>
    </w:p>
    <w:p>
      <w:pPr>
        <w:ind w:firstLine="560" w:firstLineChars="200"/>
        <w:jc w:val="center"/>
        <w:rPr>
          <w:rFonts w:hint="eastAsia" w:ascii="等线" w:hAnsi="等线" w:eastAsia="等线" w:cs="Times New Roman"/>
          <w:b/>
          <w:bCs/>
          <w:sz w:val="28"/>
          <w:szCs w:val="28"/>
        </w:rPr>
      </w:pPr>
    </w:p>
    <w:p>
      <w:pPr>
        <w:ind w:firstLine="562" w:firstLineChars="200"/>
        <w:jc w:val="center"/>
        <w:rPr>
          <w:rFonts w:hint="eastAsia" w:ascii="等线" w:hAnsi="等线" w:eastAsia="等线" w:cs="Times New Roman"/>
          <w:b/>
          <w:bCs/>
          <w:sz w:val="28"/>
          <w:szCs w:val="28"/>
        </w:rPr>
      </w:pPr>
      <w:r>
        <w:rPr>
          <w:rFonts w:hint="eastAsia" w:ascii="仿宋_GB2312" w:hAnsi="仿宋_GB2312" w:eastAsia="仿宋_GB2312" w:cs="仿宋_GB2312"/>
          <w:b/>
          <w:bCs/>
          <w:sz w:val="28"/>
          <w:szCs w:val="28"/>
        </w:rPr>
        <w:t>规划费用成本支出定额建议</w:t>
      </w:r>
    </w:p>
    <w:tbl>
      <w:tblPr>
        <w:tblStyle w:val="18"/>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879"/>
        <w:gridCol w:w="1310"/>
        <w:gridCol w:w="1299"/>
        <w:gridCol w:w="1283"/>
        <w:gridCol w:w="3006"/>
        <w:gridCol w:w="1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492" w:type="pct"/>
            <w:shd w:val="clear" w:color="auto" w:fill="D0CECE"/>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b/>
                <w:bCs/>
                <w:sz w:val="22"/>
                <w:szCs w:val="22"/>
              </w:rPr>
            </w:pPr>
            <w:r>
              <w:rPr>
                <w:rFonts w:hint="eastAsia" w:ascii="仿宋_GB2312" w:hAnsi="仿宋_GB2312" w:eastAsia="仿宋_GB2312" w:cs="仿宋_GB2312"/>
                <w:b/>
                <w:bCs/>
                <w:sz w:val="22"/>
                <w:szCs w:val="22"/>
              </w:rPr>
              <w:t>类型</w:t>
            </w:r>
          </w:p>
        </w:tc>
        <w:tc>
          <w:tcPr>
            <w:tcW w:w="733" w:type="pct"/>
            <w:shd w:val="clear" w:color="auto" w:fill="D0CECE"/>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b/>
                <w:bCs/>
                <w:sz w:val="22"/>
                <w:szCs w:val="22"/>
              </w:rPr>
            </w:pPr>
            <w:r>
              <w:rPr>
                <w:rFonts w:hint="eastAsia" w:ascii="仿宋_GB2312" w:hAnsi="仿宋_GB2312" w:eastAsia="仿宋_GB2312" w:cs="仿宋_GB2312"/>
                <w:b/>
                <w:bCs/>
                <w:sz w:val="22"/>
                <w:szCs w:val="22"/>
              </w:rPr>
              <w:t>项目名称</w:t>
            </w:r>
          </w:p>
        </w:tc>
        <w:tc>
          <w:tcPr>
            <w:tcW w:w="727" w:type="pct"/>
            <w:shd w:val="clear" w:color="auto" w:fill="D0CECE"/>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b/>
                <w:bCs/>
                <w:sz w:val="22"/>
                <w:szCs w:val="22"/>
              </w:rPr>
            </w:pPr>
            <w:r>
              <w:rPr>
                <w:rFonts w:hint="eastAsia" w:ascii="仿宋_GB2312" w:hAnsi="仿宋_GB2312" w:eastAsia="仿宋_GB2312" w:cs="仿宋_GB2312"/>
                <w:b/>
                <w:bCs/>
                <w:sz w:val="22"/>
                <w:szCs w:val="22"/>
              </w:rPr>
              <w:t>计价基础</w:t>
            </w:r>
          </w:p>
        </w:tc>
        <w:tc>
          <w:tcPr>
            <w:tcW w:w="718" w:type="pct"/>
            <w:shd w:val="clear" w:color="auto" w:fill="D0CECE"/>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b/>
                <w:bCs/>
                <w:sz w:val="22"/>
                <w:szCs w:val="22"/>
              </w:rPr>
            </w:pPr>
            <w:r>
              <w:rPr>
                <w:rFonts w:hint="eastAsia" w:ascii="仿宋_GB2312" w:hAnsi="仿宋_GB2312" w:eastAsia="仿宋_GB2312" w:cs="仿宋_GB2312"/>
                <w:b/>
                <w:bCs/>
                <w:sz w:val="22"/>
                <w:szCs w:val="22"/>
              </w:rPr>
              <w:t>调节系数</w:t>
            </w:r>
          </w:p>
        </w:tc>
        <w:tc>
          <w:tcPr>
            <w:tcW w:w="1683" w:type="pct"/>
            <w:shd w:val="clear" w:color="auto" w:fill="D0CECE"/>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b/>
                <w:bCs/>
                <w:sz w:val="22"/>
                <w:szCs w:val="22"/>
              </w:rPr>
            </w:pPr>
            <w:r>
              <w:rPr>
                <w:rFonts w:hint="eastAsia" w:ascii="仿宋_GB2312" w:hAnsi="仿宋_GB2312" w:eastAsia="仿宋_GB2312" w:cs="仿宋_GB2312"/>
                <w:b/>
                <w:bCs/>
                <w:sz w:val="22"/>
                <w:szCs w:val="22"/>
              </w:rPr>
              <w:t>系数说明</w:t>
            </w:r>
          </w:p>
        </w:tc>
        <w:tc>
          <w:tcPr>
            <w:tcW w:w="644" w:type="pct"/>
            <w:shd w:val="clear" w:color="auto" w:fill="D0CECE"/>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b/>
                <w:bCs/>
                <w:sz w:val="22"/>
                <w:szCs w:val="22"/>
              </w:rPr>
            </w:pPr>
            <w:r>
              <w:rPr>
                <w:rFonts w:hint="eastAsia" w:ascii="仿宋_GB2312" w:hAnsi="仿宋_GB2312" w:eastAsia="仿宋_GB2312" w:cs="仿宋_GB2312"/>
                <w:b/>
                <w:bCs/>
                <w:sz w:val="22"/>
                <w:szCs w:val="22"/>
              </w:rPr>
              <w:t>参考文件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492"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镇规划</w:t>
            </w:r>
          </w:p>
        </w:tc>
        <w:tc>
          <w:tcPr>
            <w:tcW w:w="733"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镇总体规划</w:t>
            </w:r>
          </w:p>
        </w:tc>
        <w:tc>
          <w:tcPr>
            <w:tcW w:w="727"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35万元/镇</w:t>
            </w:r>
          </w:p>
        </w:tc>
        <w:tc>
          <w:tcPr>
            <w:tcW w:w="718"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eastAsia" w:ascii="等线" w:hAnsi="等线" w:eastAsia="等线" w:cs="Times New Roman"/>
                <w:sz w:val="22"/>
                <w:szCs w:val="22"/>
              </w:rPr>
              <w:t>0.9-1</w:t>
            </w:r>
          </w:p>
        </w:tc>
        <w:tc>
          <w:tcPr>
            <w:tcW w:w="1683" w:type="pct"/>
            <w:shd w:val="clear" w:color="auto" w:fill="FFFFFF"/>
            <w:vAlign w:val="center"/>
          </w:tcPr>
          <w:p>
            <w:pPr>
              <w:keepNext w:val="0"/>
              <w:keepLines w:val="0"/>
              <w:suppressLineNumbers w:val="0"/>
              <w:spacing w:before="0" w:beforeAutospacing="0" w:after="0" w:afterAutospacing="0" w:line="240" w:lineRule="exact"/>
              <w:ind w:left="0" w:right="0"/>
              <w:rPr>
                <w:rFonts w:hint="eastAsia" w:ascii="等线" w:hAnsi="等线" w:eastAsia="等线" w:cs="Times New Roman"/>
                <w:sz w:val="22"/>
                <w:szCs w:val="22"/>
              </w:rPr>
            </w:pPr>
            <w:r>
              <w:rPr>
                <w:rFonts w:hint="default" w:ascii="Times New Roman" w:hAnsi="Times New Roman" w:eastAsia="仿宋_GB2312" w:cs="Times New Roman"/>
                <w:sz w:val="22"/>
                <w:szCs w:val="22"/>
              </w:rPr>
              <w:t>建设用地规模不足</w:t>
            </w:r>
            <w:r>
              <w:rPr>
                <w:rFonts w:hint="eastAsia" w:ascii="等线" w:hAnsi="等线" w:eastAsia="等线" w:cs="Times New Roman"/>
                <w:sz w:val="22"/>
                <w:szCs w:val="22"/>
              </w:rPr>
              <w:t>100</w:t>
            </w:r>
            <w:r>
              <w:rPr>
                <w:rFonts w:hint="default" w:ascii="Times New Roman" w:hAnsi="Times New Roman" w:eastAsia="仿宋_GB2312" w:cs="Times New Roman"/>
                <w:sz w:val="22"/>
                <w:szCs w:val="22"/>
              </w:rPr>
              <w:t>公顷，建议</w:t>
            </w:r>
            <w:r>
              <w:rPr>
                <w:rFonts w:hint="eastAsia" w:ascii="等线" w:hAnsi="等线" w:eastAsia="等线" w:cs="Times New Roman"/>
                <w:sz w:val="22"/>
                <w:szCs w:val="22"/>
              </w:rPr>
              <w:t>按</w:t>
            </w:r>
            <w:r>
              <w:rPr>
                <w:rFonts w:hint="default" w:ascii="Times New Roman" w:hAnsi="Times New Roman" w:eastAsia="仿宋_GB2312" w:cs="Times New Roman"/>
                <w:sz w:val="22"/>
                <w:szCs w:val="22"/>
              </w:rPr>
              <w:t>0.9</w:t>
            </w:r>
            <w:r>
              <w:rPr>
                <w:rFonts w:hint="eastAsia" w:ascii="等线" w:hAnsi="等线" w:eastAsia="等线" w:cs="Times New Roman"/>
                <w:sz w:val="22"/>
                <w:szCs w:val="22"/>
              </w:rPr>
              <w:t>-1</w:t>
            </w:r>
            <w:r>
              <w:rPr>
                <w:rFonts w:hint="default" w:ascii="Times New Roman" w:hAnsi="Times New Roman" w:eastAsia="仿宋_GB2312" w:cs="Times New Roman"/>
                <w:sz w:val="22"/>
                <w:szCs w:val="22"/>
              </w:rPr>
              <w:t>系数</w:t>
            </w:r>
            <w:r>
              <w:rPr>
                <w:rFonts w:hint="eastAsia" w:ascii="等线" w:hAnsi="等线" w:eastAsia="等线" w:cs="Times New Roman"/>
                <w:sz w:val="22"/>
                <w:szCs w:val="22"/>
              </w:rPr>
              <w:t>调整。</w:t>
            </w:r>
          </w:p>
        </w:tc>
        <w:tc>
          <w:tcPr>
            <w:tcW w:w="644"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《城市规划设计计费指导意见》《湖北省规划设计计费指导意见》《湖南省国土空间规划编制计费指导意见》</w:t>
            </w:r>
          </w:p>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492"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33"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27"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18"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eastAsia" w:ascii="等线" w:hAnsi="等线" w:eastAsia="等线" w:cs="Times New Roman"/>
                <w:sz w:val="22"/>
                <w:szCs w:val="22"/>
              </w:rPr>
              <w:t>1.1-1.3</w:t>
            </w:r>
          </w:p>
        </w:tc>
        <w:tc>
          <w:tcPr>
            <w:tcW w:w="1683" w:type="pct"/>
            <w:shd w:val="clear" w:color="auto" w:fill="FFFFFF"/>
            <w:vAlign w:val="center"/>
          </w:tcPr>
          <w:p>
            <w:pPr>
              <w:keepNext w:val="0"/>
              <w:keepLines w:val="0"/>
              <w:suppressLineNumbers w:val="0"/>
              <w:spacing w:before="0" w:beforeAutospacing="0" w:after="0" w:afterAutospacing="0" w:line="240" w:lineRule="exact"/>
              <w:ind w:left="0" w:right="0"/>
              <w:rPr>
                <w:rFonts w:hint="eastAsia" w:ascii="等线" w:hAnsi="等线" w:eastAsia="等线" w:cs="Times New Roman"/>
                <w:sz w:val="22"/>
                <w:szCs w:val="22"/>
              </w:rPr>
            </w:pPr>
            <w:r>
              <w:rPr>
                <w:rFonts w:hint="default" w:ascii="Times New Roman" w:hAnsi="Times New Roman" w:eastAsia="仿宋_GB2312" w:cs="Times New Roman"/>
                <w:sz w:val="22"/>
                <w:szCs w:val="22"/>
              </w:rPr>
              <w:t>建设用地规模</w:t>
            </w:r>
            <w:r>
              <w:rPr>
                <w:rFonts w:hint="eastAsia" w:ascii="等线" w:hAnsi="等线" w:eastAsia="等线" w:cs="Times New Roman"/>
                <w:sz w:val="22"/>
                <w:szCs w:val="22"/>
              </w:rPr>
              <w:t>101—200</w:t>
            </w:r>
            <w:r>
              <w:rPr>
                <w:rFonts w:hint="default" w:ascii="Times New Roman" w:hAnsi="Times New Roman" w:eastAsia="仿宋_GB2312" w:cs="Times New Roman"/>
                <w:sz w:val="22"/>
                <w:szCs w:val="22"/>
              </w:rPr>
              <w:t>公顷，结合规划要求、规划难度等，建议按1</w:t>
            </w:r>
            <w:r>
              <w:rPr>
                <w:rFonts w:hint="eastAsia" w:ascii="等线" w:hAnsi="等线" w:eastAsia="等线" w:cs="Times New Roman"/>
                <w:sz w:val="22"/>
                <w:szCs w:val="22"/>
              </w:rPr>
              <w:t>.1</w:t>
            </w:r>
            <w:r>
              <w:rPr>
                <w:rFonts w:hint="default" w:ascii="Times New Roman" w:hAnsi="Times New Roman" w:eastAsia="仿宋_GB2312" w:cs="Times New Roman"/>
                <w:sz w:val="22"/>
                <w:szCs w:val="22"/>
              </w:rPr>
              <w:t>—1.</w:t>
            </w:r>
            <w:r>
              <w:rPr>
                <w:rFonts w:hint="eastAsia" w:ascii="等线" w:hAnsi="等线" w:eastAsia="等线" w:cs="Times New Roman"/>
                <w:sz w:val="22"/>
                <w:szCs w:val="22"/>
              </w:rPr>
              <w:t>2</w:t>
            </w:r>
            <w:r>
              <w:rPr>
                <w:rFonts w:hint="default" w:ascii="Times New Roman" w:hAnsi="Times New Roman" w:eastAsia="仿宋_GB2312" w:cs="Times New Roman"/>
                <w:sz w:val="22"/>
                <w:szCs w:val="22"/>
              </w:rPr>
              <w:t>系数</w:t>
            </w:r>
            <w:r>
              <w:rPr>
                <w:rFonts w:hint="eastAsia" w:ascii="等线" w:hAnsi="等线" w:eastAsia="等线" w:cs="Times New Roman"/>
                <w:sz w:val="22"/>
                <w:szCs w:val="22"/>
              </w:rPr>
              <w:t>调整。</w:t>
            </w:r>
          </w:p>
        </w:tc>
        <w:tc>
          <w:tcPr>
            <w:tcW w:w="644"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492"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33"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27"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18"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eastAsia" w:ascii="等线" w:hAnsi="等线" w:eastAsia="等线" w:cs="Times New Roman"/>
                <w:sz w:val="22"/>
                <w:szCs w:val="22"/>
              </w:rPr>
              <w:t>1.4-1.5</w:t>
            </w:r>
          </w:p>
        </w:tc>
        <w:tc>
          <w:tcPr>
            <w:tcW w:w="1683" w:type="pct"/>
            <w:shd w:val="clear" w:color="auto" w:fill="FFFFFF"/>
            <w:vAlign w:val="center"/>
          </w:tcPr>
          <w:p>
            <w:pPr>
              <w:keepNext w:val="0"/>
              <w:keepLines w:val="0"/>
              <w:suppressLineNumbers w:val="0"/>
              <w:spacing w:before="0" w:beforeAutospacing="0" w:after="0" w:afterAutospacing="0" w:line="240" w:lineRule="exact"/>
              <w:ind w:left="0" w:right="0"/>
              <w:rPr>
                <w:rFonts w:hint="eastAsia" w:ascii="等线" w:hAnsi="等线" w:eastAsia="等线" w:cs="Times New Roman"/>
                <w:sz w:val="22"/>
                <w:szCs w:val="22"/>
              </w:rPr>
            </w:pPr>
            <w:r>
              <w:rPr>
                <w:rFonts w:hint="default" w:ascii="Times New Roman" w:hAnsi="Times New Roman" w:eastAsia="仿宋_GB2312" w:cs="Times New Roman"/>
                <w:sz w:val="22"/>
                <w:szCs w:val="22"/>
              </w:rPr>
              <w:t>建设用地规模大于</w:t>
            </w:r>
            <w:r>
              <w:rPr>
                <w:rFonts w:hint="eastAsia" w:ascii="等线" w:hAnsi="等线" w:eastAsia="等线" w:cs="Times New Roman"/>
                <w:sz w:val="22"/>
                <w:szCs w:val="22"/>
              </w:rPr>
              <w:t>2</w:t>
            </w:r>
            <w:r>
              <w:rPr>
                <w:rFonts w:hint="default" w:ascii="Times New Roman" w:hAnsi="Times New Roman" w:eastAsia="仿宋_GB2312" w:cs="Times New Roman"/>
                <w:sz w:val="22"/>
                <w:szCs w:val="22"/>
              </w:rPr>
              <w:t>00公顷</w:t>
            </w:r>
            <w:r>
              <w:rPr>
                <w:rFonts w:hint="eastAsia" w:ascii="等线" w:hAnsi="等线" w:eastAsia="等线" w:cs="Times New Roman"/>
                <w:sz w:val="22"/>
                <w:szCs w:val="22"/>
              </w:rPr>
              <w:t>，</w:t>
            </w:r>
            <w:r>
              <w:rPr>
                <w:rFonts w:hint="default" w:ascii="Times New Roman" w:hAnsi="Times New Roman" w:eastAsia="仿宋_GB2312" w:cs="Times New Roman"/>
                <w:sz w:val="22"/>
                <w:szCs w:val="22"/>
              </w:rPr>
              <w:t>结合规划要求、规划难度等</w:t>
            </w:r>
            <w:r>
              <w:rPr>
                <w:rFonts w:hint="eastAsia" w:ascii="等线" w:hAnsi="等线" w:eastAsia="等线" w:cs="Times New Roman"/>
                <w:sz w:val="22"/>
                <w:szCs w:val="22"/>
              </w:rPr>
              <w:t>，建议按</w:t>
            </w:r>
            <w:r>
              <w:rPr>
                <w:rFonts w:hint="eastAsia" w:ascii="Times New Roman" w:hAnsi="Times New Roman" w:eastAsia="仿宋_GB2312" w:cs="Times New Roman"/>
                <w:sz w:val="22"/>
                <w:szCs w:val="22"/>
              </w:rPr>
              <w:t>1.4—1.5</w:t>
            </w:r>
            <w:r>
              <w:rPr>
                <w:rFonts w:hint="eastAsia" w:ascii="等线" w:hAnsi="等线" w:eastAsia="等线" w:cs="Times New Roman"/>
                <w:sz w:val="22"/>
                <w:szCs w:val="22"/>
              </w:rPr>
              <w:t>系数调整</w:t>
            </w:r>
            <w:r>
              <w:rPr>
                <w:rFonts w:hint="eastAsia" w:ascii="Times New Roman" w:hAnsi="Times New Roman" w:eastAsia="仿宋_GB2312" w:cs="Times New Roman"/>
                <w:sz w:val="22"/>
                <w:szCs w:val="22"/>
              </w:rPr>
              <w:t>。</w:t>
            </w:r>
          </w:p>
        </w:tc>
        <w:tc>
          <w:tcPr>
            <w:tcW w:w="644"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492"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33"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镇详细规划</w:t>
            </w:r>
          </w:p>
        </w:tc>
        <w:tc>
          <w:tcPr>
            <w:tcW w:w="727"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1</w:t>
            </w:r>
            <w:r>
              <w:rPr>
                <w:rFonts w:hint="eastAsia" w:ascii="等线" w:hAnsi="等线" w:eastAsia="等线" w:cs="Times New Roman"/>
                <w:sz w:val="22"/>
                <w:szCs w:val="22"/>
              </w:rPr>
              <w:t>0</w:t>
            </w:r>
            <w:r>
              <w:rPr>
                <w:rFonts w:hint="default" w:ascii="Times New Roman" w:hAnsi="Times New Roman" w:eastAsia="仿宋_GB2312" w:cs="Times New Roman"/>
                <w:sz w:val="22"/>
                <w:szCs w:val="22"/>
              </w:rPr>
              <w:t>万元/镇</w:t>
            </w:r>
          </w:p>
        </w:tc>
        <w:tc>
          <w:tcPr>
            <w:tcW w:w="718"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eastAsia" w:ascii="等线" w:hAnsi="等线" w:eastAsia="等线" w:cs="Times New Roman"/>
                <w:sz w:val="22"/>
                <w:szCs w:val="22"/>
              </w:rPr>
              <w:t>0.6-0.7</w:t>
            </w:r>
          </w:p>
        </w:tc>
        <w:tc>
          <w:tcPr>
            <w:tcW w:w="1683" w:type="pct"/>
            <w:shd w:val="clear" w:color="auto" w:fill="FFFFFF"/>
            <w:vAlign w:val="center"/>
          </w:tcPr>
          <w:p>
            <w:pPr>
              <w:keepNext w:val="0"/>
              <w:keepLines w:val="0"/>
              <w:suppressLineNumbers w:val="0"/>
              <w:spacing w:before="0" w:beforeAutospacing="0" w:after="0" w:afterAutospacing="0" w:line="240" w:lineRule="exact"/>
              <w:ind w:left="0" w:right="0"/>
              <w:rPr>
                <w:rFonts w:hint="eastAsia" w:ascii="等线" w:hAnsi="等线" w:eastAsia="等线" w:cs="Times New Roman"/>
                <w:sz w:val="22"/>
                <w:szCs w:val="22"/>
              </w:rPr>
            </w:pPr>
            <w:r>
              <w:rPr>
                <w:rFonts w:hint="default" w:ascii="Times New Roman" w:hAnsi="Times New Roman" w:eastAsia="仿宋_GB2312" w:cs="Times New Roman"/>
                <w:sz w:val="22"/>
                <w:szCs w:val="22"/>
              </w:rPr>
              <w:t>开发边界面积</w:t>
            </w:r>
            <w:r>
              <w:rPr>
                <w:rFonts w:hint="eastAsia" w:ascii="等线" w:hAnsi="等线" w:eastAsia="等线" w:cs="Times New Roman"/>
                <w:sz w:val="22"/>
                <w:szCs w:val="22"/>
              </w:rPr>
              <w:t>不足</w:t>
            </w:r>
            <w:r>
              <w:rPr>
                <w:rFonts w:hint="default" w:ascii="Times New Roman" w:hAnsi="Times New Roman" w:eastAsia="仿宋_GB2312" w:cs="Times New Roman"/>
                <w:sz w:val="22"/>
                <w:szCs w:val="22"/>
              </w:rPr>
              <w:t>50公顷，建议</w:t>
            </w:r>
            <w:r>
              <w:rPr>
                <w:rFonts w:hint="eastAsia" w:ascii="等线" w:hAnsi="等线" w:eastAsia="等线" w:cs="Times New Roman"/>
                <w:sz w:val="22"/>
                <w:szCs w:val="22"/>
              </w:rPr>
              <w:t>按</w:t>
            </w:r>
            <w:r>
              <w:rPr>
                <w:rFonts w:hint="default" w:ascii="Times New Roman" w:hAnsi="Times New Roman" w:eastAsia="仿宋_GB2312" w:cs="Times New Roman"/>
                <w:sz w:val="22"/>
                <w:szCs w:val="22"/>
              </w:rPr>
              <w:t>0.</w:t>
            </w:r>
            <w:r>
              <w:rPr>
                <w:rFonts w:hint="eastAsia" w:ascii="等线" w:hAnsi="等线" w:eastAsia="等线" w:cs="Times New Roman"/>
                <w:sz w:val="22"/>
                <w:szCs w:val="22"/>
              </w:rPr>
              <w:t>6—</w:t>
            </w:r>
            <w:r>
              <w:rPr>
                <w:rFonts w:hint="default" w:ascii="Times New Roman" w:hAnsi="Times New Roman" w:eastAsia="仿宋_GB2312" w:cs="Times New Roman"/>
                <w:sz w:val="22"/>
                <w:szCs w:val="22"/>
              </w:rPr>
              <w:t>0.</w:t>
            </w:r>
            <w:r>
              <w:rPr>
                <w:rFonts w:hint="eastAsia" w:ascii="等线" w:hAnsi="等线" w:eastAsia="等线" w:cs="Times New Roman"/>
                <w:sz w:val="22"/>
                <w:szCs w:val="22"/>
              </w:rPr>
              <w:t>7调节系数。</w:t>
            </w:r>
          </w:p>
        </w:tc>
        <w:tc>
          <w:tcPr>
            <w:tcW w:w="644"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492"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33"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27"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18"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eastAsia" w:ascii="等线" w:hAnsi="等线" w:eastAsia="等线" w:cs="Times New Roman"/>
                <w:sz w:val="22"/>
                <w:szCs w:val="22"/>
              </w:rPr>
              <w:t>0.8-0.9</w:t>
            </w:r>
          </w:p>
        </w:tc>
        <w:tc>
          <w:tcPr>
            <w:tcW w:w="1683" w:type="pct"/>
            <w:shd w:val="clear" w:color="auto" w:fill="FFFFFF"/>
            <w:vAlign w:val="center"/>
          </w:tcPr>
          <w:p>
            <w:pPr>
              <w:keepNext w:val="0"/>
              <w:keepLines w:val="0"/>
              <w:suppressLineNumbers w:val="0"/>
              <w:spacing w:before="0" w:beforeAutospacing="0" w:after="0" w:afterAutospacing="0" w:line="240" w:lineRule="exact"/>
              <w:ind w:left="0" w:right="0"/>
              <w:rPr>
                <w:rFonts w:hint="eastAsia" w:ascii="等线" w:hAnsi="等线" w:eastAsia="等线" w:cs="Times New Roman"/>
                <w:sz w:val="22"/>
                <w:szCs w:val="22"/>
              </w:rPr>
            </w:pPr>
            <w:r>
              <w:rPr>
                <w:rFonts w:hint="default" w:ascii="Times New Roman" w:hAnsi="Times New Roman" w:eastAsia="仿宋_GB2312" w:cs="Times New Roman"/>
                <w:sz w:val="22"/>
                <w:szCs w:val="22"/>
              </w:rPr>
              <w:t>开发边界面积50–100公顷，结合规划要求、规划难度等，建议</w:t>
            </w:r>
            <w:r>
              <w:rPr>
                <w:rFonts w:hint="eastAsia" w:ascii="等线" w:hAnsi="等线" w:eastAsia="等线" w:cs="Times New Roman"/>
                <w:sz w:val="22"/>
                <w:szCs w:val="22"/>
              </w:rPr>
              <w:t>按0.8—0.9调节系数。</w:t>
            </w:r>
          </w:p>
        </w:tc>
        <w:tc>
          <w:tcPr>
            <w:tcW w:w="644"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492"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33"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27"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18"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eastAsia" w:ascii="等线" w:hAnsi="等线" w:eastAsia="等线" w:cs="Times New Roman"/>
                <w:sz w:val="22"/>
                <w:szCs w:val="22"/>
              </w:rPr>
              <w:t>1-1.1</w:t>
            </w:r>
          </w:p>
        </w:tc>
        <w:tc>
          <w:tcPr>
            <w:tcW w:w="1683" w:type="pct"/>
            <w:shd w:val="clear" w:color="auto" w:fill="FFFFFF"/>
            <w:vAlign w:val="center"/>
          </w:tcPr>
          <w:p>
            <w:pPr>
              <w:keepNext w:val="0"/>
              <w:keepLines w:val="0"/>
              <w:suppressLineNumbers w:val="0"/>
              <w:spacing w:before="0" w:beforeAutospacing="0" w:after="0" w:afterAutospacing="0" w:line="240" w:lineRule="exact"/>
              <w:ind w:left="0" w:right="0"/>
              <w:rPr>
                <w:rFonts w:hint="eastAsia" w:ascii="等线" w:hAnsi="等线" w:eastAsia="等线" w:cs="Times New Roman"/>
                <w:sz w:val="22"/>
                <w:szCs w:val="22"/>
              </w:rPr>
            </w:pPr>
            <w:r>
              <w:rPr>
                <w:rFonts w:hint="default" w:ascii="Times New Roman" w:hAnsi="Times New Roman" w:eastAsia="仿宋_GB2312" w:cs="Times New Roman"/>
                <w:sz w:val="22"/>
                <w:szCs w:val="22"/>
              </w:rPr>
              <w:t>开发边界面积</w:t>
            </w:r>
            <w:r>
              <w:rPr>
                <w:rFonts w:hint="eastAsia" w:ascii="等线" w:hAnsi="等线" w:eastAsia="等线" w:cs="Times New Roman"/>
                <w:sz w:val="22"/>
                <w:szCs w:val="22"/>
              </w:rPr>
              <w:t>100</w:t>
            </w:r>
            <w:r>
              <w:rPr>
                <w:rFonts w:hint="default" w:ascii="Times New Roman" w:hAnsi="Times New Roman" w:eastAsia="仿宋_GB2312" w:cs="Times New Roman"/>
                <w:sz w:val="22"/>
                <w:szCs w:val="22"/>
              </w:rPr>
              <w:t>–1</w:t>
            </w:r>
            <w:r>
              <w:rPr>
                <w:rFonts w:hint="eastAsia" w:ascii="等线" w:hAnsi="等线" w:eastAsia="等线" w:cs="Times New Roman"/>
                <w:sz w:val="22"/>
                <w:szCs w:val="22"/>
              </w:rPr>
              <w:t>5</w:t>
            </w:r>
            <w:r>
              <w:rPr>
                <w:rFonts w:hint="default" w:ascii="Times New Roman" w:hAnsi="Times New Roman" w:eastAsia="仿宋_GB2312" w:cs="Times New Roman"/>
                <w:sz w:val="22"/>
                <w:szCs w:val="22"/>
              </w:rPr>
              <w:t>0公顷，结合规划要求、规划难度等，建议</w:t>
            </w:r>
            <w:r>
              <w:rPr>
                <w:rFonts w:hint="eastAsia" w:ascii="等线" w:hAnsi="等线" w:eastAsia="等线" w:cs="Times New Roman"/>
                <w:sz w:val="22"/>
                <w:szCs w:val="22"/>
              </w:rPr>
              <w:t>按1—1.1调节系数。</w:t>
            </w:r>
          </w:p>
        </w:tc>
        <w:tc>
          <w:tcPr>
            <w:tcW w:w="644"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492"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乡村</w:t>
            </w:r>
          </w:p>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规划</w:t>
            </w:r>
          </w:p>
        </w:tc>
        <w:tc>
          <w:tcPr>
            <w:tcW w:w="733"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重点村庄</w:t>
            </w:r>
          </w:p>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规划</w:t>
            </w:r>
          </w:p>
        </w:tc>
        <w:tc>
          <w:tcPr>
            <w:tcW w:w="727"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10万元/村</w:t>
            </w:r>
          </w:p>
        </w:tc>
        <w:tc>
          <w:tcPr>
            <w:tcW w:w="718"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联合编制乘以0.6-0.8的调节系数。</w:t>
            </w:r>
          </w:p>
        </w:tc>
        <w:tc>
          <w:tcPr>
            <w:tcW w:w="1683" w:type="pct"/>
            <w:shd w:val="clear" w:color="auto" w:fill="FFFFFF"/>
            <w:vAlign w:val="center"/>
          </w:tcPr>
          <w:p>
            <w:pPr>
              <w:keepNext w:val="0"/>
              <w:keepLines w:val="0"/>
              <w:suppressLineNumbers w:val="0"/>
              <w:spacing w:before="0" w:beforeAutospacing="0" w:after="0" w:afterAutospacing="0" w:line="240" w:lineRule="exact"/>
              <w:ind w:left="0" w:right="0"/>
              <w:rPr>
                <w:rFonts w:hint="eastAsia" w:ascii="等线" w:hAnsi="等线" w:eastAsia="等线" w:cs="Times New Roman"/>
                <w:sz w:val="22"/>
                <w:szCs w:val="22"/>
              </w:rPr>
            </w:pPr>
            <w:r>
              <w:rPr>
                <w:rFonts w:hint="default" w:ascii="Times New Roman" w:hAnsi="Times New Roman" w:eastAsia="仿宋_GB2312" w:cs="Times New Roman"/>
                <w:sz w:val="22"/>
                <w:szCs w:val="22"/>
              </w:rPr>
              <w:t>—</w:t>
            </w:r>
          </w:p>
        </w:tc>
        <w:tc>
          <w:tcPr>
            <w:tcW w:w="644"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492"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33"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一般村庄</w:t>
            </w:r>
          </w:p>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规划</w:t>
            </w:r>
          </w:p>
        </w:tc>
        <w:tc>
          <w:tcPr>
            <w:tcW w:w="727"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5万元/村</w:t>
            </w:r>
          </w:p>
        </w:tc>
        <w:tc>
          <w:tcPr>
            <w:tcW w:w="718"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联合编制乘以0.6-0.8的调节系数。</w:t>
            </w:r>
          </w:p>
        </w:tc>
        <w:tc>
          <w:tcPr>
            <w:tcW w:w="1683" w:type="pct"/>
            <w:shd w:val="clear" w:color="auto" w:fill="FFFFFF"/>
            <w:vAlign w:val="center"/>
          </w:tcPr>
          <w:p>
            <w:pPr>
              <w:keepNext w:val="0"/>
              <w:keepLines w:val="0"/>
              <w:suppressLineNumbers w:val="0"/>
              <w:spacing w:before="0" w:beforeAutospacing="0" w:after="0" w:afterAutospacing="0" w:line="240" w:lineRule="exact"/>
              <w:ind w:left="0" w:right="0"/>
              <w:rPr>
                <w:rFonts w:hint="eastAsia" w:ascii="等线" w:hAnsi="等线" w:eastAsia="等线" w:cs="Times New Roman"/>
                <w:sz w:val="22"/>
                <w:szCs w:val="22"/>
              </w:rPr>
            </w:pPr>
            <w:r>
              <w:rPr>
                <w:rFonts w:hint="default" w:ascii="Times New Roman" w:hAnsi="Times New Roman" w:eastAsia="仿宋_GB2312" w:cs="Times New Roman"/>
                <w:sz w:val="22"/>
                <w:szCs w:val="22"/>
              </w:rPr>
              <w:t>—</w:t>
            </w:r>
          </w:p>
        </w:tc>
        <w:tc>
          <w:tcPr>
            <w:tcW w:w="644"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492"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专项</w:t>
            </w:r>
          </w:p>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规划</w:t>
            </w:r>
          </w:p>
        </w:tc>
        <w:tc>
          <w:tcPr>
            <w:tcW w:w="733"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森林草原</w:t>
            </w:r>
          </w:p>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防火规划</w:t>
            </w:r>
          </w:p>
        </w:tc>
        <w:tc>
          <w:tcPr>
            <w:tcW w:w="727"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15万元/个</w:t>
            </w:r>
          </w:p>
        </w:tc>
        <w:tc>
          <w:tcPr>
            <w:tcW w:w="718"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eastAsia" w:ascii="等线" w:hAnsi="等线" w:eastAsia="等线" w:cs="Times New Roman"/>
                <w:sz w:val="22"/>
                <w:szCs w:val="22"/>
              </w:rPr>
              <w:t>0.6-0.8</w:t>
            </w:r>
          </w:p>
        </w:tc>
        <w:tc>
          <w:tcPr>
            <w:tcW w:w="1683" w:type="pct"/>
            <w:shd w:val="clear" w:color="auto" w:fill="FFFFFF"/>
            <w:vAlign w:val="center"/>
          </w:tcPr>
          <w:p>
            <w:pPr>
              <w:keepNext w:val="0"/>
              <w:keepLines w:val="0"/>
              <w:suppressLineNumbers w:val="0"/>
              <w:spacing w:before="0" w:beforeAutospacing="0" w:after="0" w:afterAutospacing="0" w:line="240" w:lineRule="exact"/>
              <w:ind w:left="0" w:right="0"/>
              <w:rPr>
                <w:rFonts w:hint="eastAsia" w:ascii="等线" w:hAnsi="等线" w:eastAsia="等线" w:cs="Times New Roman"/>
                <w:sz w:val="22"/>
                <w:szCs w:val="22"/>
              </w:rPr>
            </w:pPr>
            <w:r>
              <w:rPr>
                <w:rFonts w:hint="default" w:ascii="Times New Roman" w:hAnsi="Times New Roman" w:eastAsia="仿宋_GB2312" w:cs="Times New Roman"/>
                <w:sz w:val="22"/>
                <w:szCs w:val="22"/>
              </w:rPr>
              <w:t>规划周期在5年及以内，无特殊要求，建议</w:t>
            </w:r>
            <w:r>
              <w:rPr>
                <w:rFonts w:hint="eastAsia" w:ascii="等线" w:hAnsi="等线" w:eastAsia="等线" w:cs="Times New Roman"/>
                <w:sz w:val="22"/>
                <w:szCs w:val="22"/>
              </w:rPr>
              <w:t>按</w:t>
            </w:r>
            <w:r>
              <w:rPr>
                <w:rFonts w:hint="default" w:ascii="Times New Roman" w:hAnsi="Times New Roman" w:eastAsia="仿宋_GB2312" w:cs="Times New Roman"/>
                <w:sz w:val="22"/>
                <w:szCs w:val="22"/>
              </w:rPr>
              <w:t>0.6—0.8</w:t>
            </w:r>
            <w:r>
              <w:rPr>
                <w:rFonts w:hint="eastAsia" w:ascii="等线" w:hAnsi="等线" w:eastAsia="等线" w:cs="Times New Roman"/>
                <w:sz w:val="22"/>
                <w:szCs w:val="22"/>
              </w:rPr>
              <w:t>系数调整。</w:t>
            </w:r>
          </w:p>
        </w:tc>
        <w:tc>
          <w:tcPr>
            <w:tcW w:w="644"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《林业和草原工程建设项目服务计费指导意见》林建协〔2024〕54号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492"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33"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27"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18"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eastAsia" w:ascii="等线" w:hAnsi="等线" w:eastAsia="等线" w:cs="Times New Roman"/>
                <w:sz w:val="22"/>
                <w:szCs w:val="22"/>
              </w:rPr>
              <w:t>0.9-1</w:t>
            </w:r>
          </w:p>
        </w:tc>
        <w:tc>
          <w:tcPr>
            <w:tcW w:w="1683" w:type="pct"/>
            <w:shd w:val="clear" w:color="auto" w:fill="FFFFFF"/>
            <w:vAlign w:val="center"/>
          </w:tcPr>
          <w:p>
            <w:pPr>
              <w:keepNext w:val="0"/>
              <w:keepLines w:val="0"/>
              <w:suppressLineNumbers w:val="0"/>
              <w:spacing w:before="0" w:beforeAutospacing="0" w:after="0" w:afterAutospacing="0" w:line="240" w:lineRule="exact"/>
              <w:ind w:left="0" w:right="0"/>
              <w:rPr>
                <w:rFonts w:hint="eastAsia" w:ascii="等线" w:hAnsi="等线" w:eastAsia="等线" w:cs="Times New Roman"/>
                <w:sz w:val="22"/>
                <w:szCs w:val="22"/>
              </w:rPr>
            </w:pPr>
            <w:r>
              <w:rPr>
                <w:rFonts w:hint="default" w:ascii="Times New Roman" w:hAnsi="Times New Roman" w:eastAsia="仿宋_GB2312" w:cs="Times New Roman"/>
                <w:sz w:val="22"/>
                <w:szCs w:val="22"/>
              </w:rPr>
              <w:t>规划周期在5年以上，无特殊要求，建议</w:t>
            </w:r>
            <w:r>
              <w:rPr>
                <w:rFonts w:hint="eastAsia" w:ascii="等线" w:hAnsi="等线" w:eastAsia="等线" w:cs="Times New Roman"/>
                <w:sz w:val="22"/>
                <w:szCs w:val="22"/>
              </w:rPr>
              <w:t>按</w:t>
            </w:r>
            <w:r>
              <w:rPr>
                <w:rFonts w:hint="default" w:ascii="Times New Roman" w:hAnsi="Times New Roman" w:eastAsia="仿宋_GB2312" w:cs="Times New Roman"/>
                <w:sz w:val="22"/>
                <w:szCs w:val="22"/>
              </w:rPr>
              <w:t>0.9—1</w:t>
            </w:r>
            <w:r>
              <w:rPr>
                <w:rFonts w:hint="eastAsia" w:ascii="等线" w:hAnsi="等线" w:eastAsia="等线" w:cs="Times New Roman"/>
                <w:sz w:val="22"/>
                <w:szCs w:val="22"/>
              </w:rPr>
              <w:t>系数调整。</w:t>
            </w:r>
          </w:p>
        </w:tc>
        <w:tc>
          <w:tcPr>
            <w:tcW w:w="644"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492"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33"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27"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18"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eastAsia" w:ascii="等线" w:hAnsi="等线" w:eastAsia="等线" w:cs="Times New Roman"/>
                <w:sz w:val="22"/>
                <w:szCs w:val="22"/>
              </w:rPr>
              <w:t>1.1-1.2</w:t>
            </w:r>
          </w:p>
        </w:tc>
        <w:tc>
          <w:tcPr>
            <w:tcW w:w="1683" w:type="pct"/>
            <w:shd w:val="clear" w:color="auto" w:fill="FFFFFF"/>
            <w:vAlign w:val="center"/>
          </w:tcPr>
          <w:p>
            <w:pPr>
              <w:keepNext w:val="0"/>
              <w:keepLines w:val="0"/>
              <w:suppressLineNumbers w:val="0"/>
              <w:spacing w:before="0" w:beforeAutospacing="0" w:after="0" w:afterAutospacing="0" w:line="240" w:lineRule="exact"/>
              <w:ind w:left="0" w:right="0"/>
              <w:rPr>
                <w:rFonts w:hint="eastAsia" w:ascii="等线" w:hAnsi="等线" w:eastAsia="等线" w:cs="Times New Roman"/>
                <w:sz w:val="22"/>
                <w:szCs w:val="22"/>
              </w:rPr>
            </w:pPr>
            <w:r>
              <w:rPr>
                <w:rFonts w:hint="default" w:ascii="Times New Roman" w:hAnsi="Times New Roman" w:eastAsia="仿宋_GB2312" w:cs="Times New Roman"/>
                <w:sz w:val="22"/>
                <w:szCs w:val="22"/>
              </w:rPr>
              <w:t>规划周期在5年以上，且需增加防火设施布局、应急演练方案等深度内容，建议</w:t>
            </w:r>
            <w:r>
              <w:rPr>
                <w:rFonts w:hint="eastAsia" w:ascii="等线" w:hAnsi="等线" w:eastAsia="等线" w:cs="Times New Roman"/>
                <w:sz w:val="22"/>
                <w:szCs w:val="22"/>
              </w:rPr>
              <w:t>按1.1</w:t>
            </w:r>
            <w:r>
              <w:rPr>
                <w:rFonts w:hint="default" w:ascii="Times New Roman" w:hAnsi="Times New Roman" w:eastAsia="仿宋_GB2312" w:cs="Times New Roman"/>
                <w:sz w:val="22"/>
                <w:szCs w:val="22"/>
              </w:rPr>
              <w:t>—1</w:t>
            </w:r>
            <w:r>
              <w:rPr>
                <w:rFonts w:hint="eastAsia" w:ascii="等线" w:hAnsi="等线" w:eastAsia="等线" w:cs="Times New Roman"/>
                <w:sz w:val="22"/>
                <w:szCs w:val="22"/>
              </w:rPr>
              <w:t>.2系数调整。</w:t>
            </w:r>
          </w:p>
        </w:tc>
        <w:tc>
          <w:tcPr>
            <w:tcW w:w="644"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492"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33"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湿地保护</w:t>
            </w:r>
          </w:p>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规划</w:t>
            </w:r>
          </w:p>
        </w:tc>
        <w:tc>
          <w:tcPr>
            <w:tcW w:w="727"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10万元/个</w:t>
            </w:r>
          </w:p>
        </w:tc>
        <w:tc>
          <w:tcPr>
            <w:tcW w:w="718"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0.9-1.</w:t>
            </w:r>
            <w:r>
              <w:rPr>
                <w:rFonts w:hint="eastAsia" w:ascii="等线" w:hAnsi="等线" w:eastAsia="等线" w:cs="Times New Roman"/>
                <w:sz w:val="22"/>
                <w:szCs w:val="22"/>
              </w:rPr>
              <w:t>1</w:t>
            </w:r>
          </w:p>
        </w:tc>
        <w:tc>
          <w:tcPr>
            <w:tcW w:w="1683" w:type="pct"/>
            <w:shd w:val="clear" w:color="auto" w:fill="FFFFFF"/>
            <w:vAlign w:val="center"/>
          </w:tcPr>
          <w:p>
            <w:pPr>
              <w:keepNext w:val="0"/>
              <w:keepLines w:val="0"/>
              <w:suppressLineNumbers w:val="0"/>
              <w:spacing w:before="0" w:beforeAutospacing="0" w:after="0" w:afterAutospacing="0" w:line="240" w:lineRule="exact"/>
              <w:ind w:left="0" w:right="0"/>
              <w:rPr>
                <w:rFonts w:hint="eastAsia" w:ascii="等线" w:hAnsi="等线" w:eastAsia="等线" w:cs="Times New Roman"/>
                <w:sz w:val="22"/>
                <w:szCs w:val="22"/>
              </w:rPr>
            </w:pPr>
            <w:r>
              <w:rPr>
                <w:rFonts w:hint="default" w:ascii="Times New Roman" w:hAnsi="Times New Roman" w:eastAsia="仿宋_GB2312" w:cs="Times New Roman"/>
                <w:sz w:val="22"/>
                <w:szCs w:val="22"/>
              </w:rPr>
              <w:t>规划周期在5年及以内，建议</w:t>
            </w:r>
            <w:r>
              <w:rPr>
                <w:rFonts w:hint="eastAsia" w:ascii="等线" w:hAnsi="等线" w:eastAsia="等线" w:cs="Times New Roman"/>
                <w:sz w:val="22"/>
                <w:szCs w:val="22"/>
              </w:rPr>
              <w:t>按</w:t>
            </w:r>
            <w:r>
              <w:rPr>
                <w:rFonts w:hint="default" w:ascii="Times New Roman" w:hAnsi="Times New Roman" w:eastAsia="仿宋_GB2312" w:cs="Times New Roman"/>
                <w:sz w:val="22"/>
                <w:szCs w:val="22"/>
              </w:rPr>
              <w:t>0.9—1.1</w:t>
            </w:r>
            <w:r>
              <w:rPr>
                <w:rFonts w:hint="eastAsia" w:ascii="等线" w:hAnsi="等线" w:eastAsia="等线" w:cs="Times New Roman"/>
                <w:sz w:val="22"/>
                <w:szCs w:val="22"/>
              </w:rPr>
              <w:t>系数调整。</w:t>
            </w:r>
          </w:p>
        </w:tc>
        <w:tc>
          <w:tcPr>
            <w:tcW w:w="644"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492"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33"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27"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18"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eastAsia" w:ascii="等线" w:hAnsi="等线" w:eastAsia="等线" w:cs="Times New Roman"/>
                <w:sz w:val="22"/>
                <w:szCs w:val="22"/>
              </w:rPr>
              <w:t>1.2-1.3</w:t>
            </w:r>
          </w:p>
        </w:tc>
        <w:tc>
          <w:tcPr>
            <w:tcW w:w="1683" w:type="pct"/>
            <w:shd w:val="clear" w:color="auto" w:fill="FFFFFF"/>
            <w:vAlign w:val="center"/>
          </w:tcPr>
          <w:p>
            <w:pPr>
              <w:keepNext w:val="0"/>
              <w:keepLines w:val="0"/>
              <w:suppressLineNumbers w:val="0"/>
              <w:spacing w:before="0" w:beforeAutospacing="0" w:after="0" w:afterAutospacing="0" w:line="240" w:lineRule="exact"/>
              <w:ind w:left="0" w:right="0"/>
              <w:rPr>
                <w:rFonts w:hint="eastAsia" w:ascii="等线" w:hAnsi="等线" w:eastAsia="等线" w:cs="Times New Roman"/>
                <w:sz w:val="22"/>
                <w:szCs w:val="22"/>
              </w:rPr>
            </w:pPr>
            <w:r>
              <w:rPr>
                <w:rFonts w:hint="default" w:ascii="Times New Roman" w:hAnsi="Times New Roman" w:eastAsia="仿宋_GB2312" w:cs="Times New Roman"/>
                <w:sz w:val="22"/>
                <w:szCs w:val="22"/>
              </w:rPr>
              <w:t>规划周期在5年以上，无特殊要求，建议</w:t>
            </w:r>
            <w:r>
              <w:rPr>
                <w:rFonts w:hint="eastAsia" w:ascii="等线" w:hAnsi="等线" w:eastAsia="等线" w:cs="Times New Roman"/>
                <w:sz w:val="22"/>
                <w:szCs w:val="22"/>
              </w:rPr>
              <w:t>按</w:t>
            </w:r>
            <w:r>
              <w:rPr>
                <w:rFonts w:hint="default" w:ascii="Times New Roman" w:hAnsi="Times New Roman" w:eastAsia="仿宋_GB2312" w:cs="Times New Roman"/>
                <w:sz w:val="22"/>
                <w:szCs w:val="22"/>
              </w:rPr>
              <w:t>1.2—1.3</w:t>
            </w:r>
            <w:r>
              <w:rPr>
                <w:rFonts w:hint="eastAsia" w:ascii="等线" w:hAnsi="等线" w:eastAsia="等线" w:cs="Times New Roman"/>
                <w:sz w:val="22"/>
                <w:szCs w:val="22"/>
              </w:rPr>
              <w:t>系数调整。</w:t>
            </w:r>
          </w:p>
        </w:tc>
        <w:tc>
          <w:tcPr>
            <w:tcW w:w="644"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492"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33"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27"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18"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eastAsia" w:ascii="等线" w:hAnsi="等线" w:eastAsia="等线" w:cs="Times New Roman"/>
                <w:sz w:val="22"/>
                <w:szCs w:val="22"/>
              </w:rPr>
              <w:t>1.4-1.5</w:t>
            </w:r>
          </w:p>
        </w:tc>
        <w:tc>
          <w:tcPr>
            <w:tcW w:w="1683" w:type="pct"/>
            <w:shd w:val="clear" w:color="auto" w:fill="FFFFFF"/>
            <w:vAlign w:val="center"/>
          </w:tcPr>
          <w:p>
            <w:pPr>
              <w:keepNext w:val="0"/>
              <w:keepLines w:val="0"/>
              <w:suppressLineNumbers w:val="0"/>
              <w:spacing w:before="0" w:beforeAutospacing="0" w:after="0" w:afterAutospacing="0" w:line="240" w:lineRule="exact"/>
              <w:ind w:left="0" w:right="0"/>
              <w:rPr>
                <w:rFonts w:hint="eastAsia" w:ascii="等线" w:hAnsi="等线" w:eastAsia="等线" w:cs="Times New Roman"/>
                <w:sz w:val="22"/>
                <w:szCs w:val="22"/>
              </w:rPr>
            </w:pPr>
            <w:r>
              <w:rPr>
                <w:rFonts w:hint="default" w:ascii="Times New Roman" w:hAnsi="Times New Roman" w:eastAsia="仿宋_GB2312" w:cs="Times New Roman"/>
                <w:sz w:val="22"/>
                <w:szCs w:val="22"/>
              </w:rPr>
              <w:t>规划周期在5年以上</w:t>
            </w:r>
            <w:r>
              <w:rPr>
                <w:rFonts w:hint="eastAsia" w:ascii="等线" w:hAnsi="等线" w:eastAsia="等线" w:cs="Times New Roman"/>
                <w:sz w:val="22"/>
                <w:szCs w:val="22"/>
              </w:rPr>
              <w:t>，</w:t>
            </w:r>
            <w:r>
              <w:rPr>
                <w:rFonts w:hint="default" w:ascii="Times New Roman" w:hAnsi="Times New Roman" w:eastAsia="仿宋_GB2312" w:cs="Times New Roman"/>
                <w:sz w:val="22"/>
                <w:szCs w:val="22"/>
              </w:rPr>
              <w:t>涉及湿地修复技术研究、候鸟栖息地保护等特殊专业需求</w:t>
            </w:r>
            <w:r>
              <w:rPr>
                <w:rFonts w:hint="eastAsia" w:ascii="等线" w:hAnsi="等线" w:eastAsia="等线" w:cs="Times New Roman"/>
                <w:sz w:val="22"/>
                <w:szCs w:val="22"/>
              </w:rPr>
              <w:t>，</w:t>
            </w:r>
            <w:r>
              <w:rPr>
                <w:rFonts w:hint="default" w:ascii="Times New Roman" w:hAnsi="Times New Roman" w:eastAsia="仿宋_GB2312" w:cs="Times New Roman"/>
                <w:sz w:val="22"/>
                <w:szCs w:val="22"/>
              </w:rPr>
              <w:t>建议</w:t>
            </w:r>
            <w:r>
              <w:rPr>
                <w:rFonts w:hint="eastAsia" w:ascii="等线" w:hAnsi="等线" w:eastAsia="等线" w:cs="Times New Roman"/>
                <w:sz w:val="22"/>
                <w:szCs w:val="22"/>
              </w:rPr>
              <w:t>按</w:t>
            </w:r>
            <w:r>
              <w:rPr>
                <w:rFonts w:hint="default" w:ascii="Times New Roman" w:hAnsi="Times New Roman" w:eastAsia="仿宋_GB2312" w:cs="Times New Roman"/>
                <w:sz w:val="22"/>
                <w:szCs w:val="22"/>
              </w:rPr>
              <w:t>1.4—1.5</w:t>
            </w:r>
            <w:r>
              <w:rPr>
                <w:rFonts w:hint="eastAsia" w:ascii="等线" w:hAnsi="等线" w:eastAsia="等线" w:cs="Times New Roman"/>
                <w:sz w:val="22"/>
                <w:szCs w:val="22"/>
              </w:rPr>
              <w:t>系数调整</w:t>
            </w:r>
            <w:r>
              <w:rPr>
                <w:rFonts w:hint="default" w:ascii="Times New Roman" w:hAnsi="Times New Roman" w:eastAsia="仿宋_GB2312" w:cs="Times New Roman"/>
                <w:sz w:val="22"/>
                <w:szCs w:val="22"/>
              </w:rPr>
              <w:t>。</w:t>
            </w:r>
          </w:p>
        </w:tc>
        <w:tc>
          <w:tcPr>
            <w:tcW w:w="644"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73" w:hRule="atLeast"/>
          <w:jc w:val="center"/>
        </w:trPr>
        <w:tc>
          <w:tcPr>
            <w:tcW w:w="492"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其他规划技术服务</w:t>
            </w:r>
          </w:p>
        </w:tc>
        <w:tc>
          <w:tcPr>
            <w:tcW w:w="733"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概念规划</w:t>
            </w:r>
          </w:p>
        </w:tc>
        <w:tc>
          <w:tcPr>
            <w:tcW w:w="727"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20万元/个</w:t>
            </w:r>
          </w:p>
        </w:tc>
        <w:tc>
          <w:tcPr>
            <w:tcW w:w="718"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根据具体研究的内容和深度乘以1-1.5的调节系数。</w:t>
            </w:r>
          </w:p>
        </w:tc>
        <w:tc>
          <w:tcPr>
            <w:tcW w:w="1683" w:type="pct"/>
            <w:vMerge w:val="restart"/>
            <w:shd w:val="clear" w:color="auto" w:fill="FFFFFF"/>
            <w:vAlign w:val="center"/>
          </w:tcPr>
          <w:p>
            <w:pPr>
              <w:keepNext w:val="0"/>
              <w:keepLines w:val="0"/>
              <w:suppressLineNumbers w:val="0"/>
              <w:spacing w:before="0" w:beforeAutospacing="0" w:after="0" w:afterAutospacing="0" w:line="240" w:lineRule="exact"/>
              <w:ind w:left="0" w:right="0"/>
              <w:rPr>
                <w:rFonts w:hint="eastAsia" w:ascii="等线" w:hAnsi="等线" w:eastAsia="等线" w:cs="Times New Roman"/>
                <w:sz w:val="22"/>
                <w:szCs w:val="22"/>
              </w:rPr>
            </w:pPr>
            <w:r>
              <w:rPr>
                <w:rFonts w:hint="default" w:ascii="Times New Roman" w:hAnsi="Times New Roman" w:eastAsia="仿宋_GB2312" w:cs="Times New Roman"/>
                <w:sz w:val="22"/>
                <w:szCs w:val="22"/>
              </w:rPr>
              <w:t>常规县域概念/战略规划（如“碳达峰”方案、能源发展规划），内容仅覆盖基础定位与布局，建议单价不超过20万元/个；</w:t>
            </w:r>
          </w:p>
          <w:p>
            <w:pPr>
              <w:keepNext w:val="0"/>
              <w:keepLines w:val="0"/>
              <w:suppressLineNumbers w:val="0"/>
              <w:spacing w:before="0" w:beforeAutospacing="0" w:after="0" w:afterAutospacing="0" w:line="240" w:lineRule="exact"/>
              <w:ind w:left="0" w:right="0"/>
              <w:rPr>
                <w:rFonts w:hint="eastAsia" w:ascii="等线" w:hAnsi="等线" w:eastAsia="等线" w:cs="Times New Roman"/>
                <w:sz w:val="22"/>
                <w:szCs w:val="22"/>
              </w:rPr>
            </w:pPr>
            <w:r>
              <w:rPr>
                <w:rFonts w:hint="default" w:ascii="Times New Roman" w:hAnsi="Times New Roman" w:eastAsia="仿宋_GB2312" w:cs="Times New Roman"/>
                <w:sz w:val="22"/>
                <w:szCs w:val="22"/>
              </w:rPr>
              <w:t>需对接市级以上战略规划，深度提升，可根据财政情况和市场行情商定具体调节系数。</w:t>
            </w:r>
          </w:p>
        </w:tc>
        <w:tc>
          <w:tcPr>
            <w:tcW w:w="644"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《湖南省国土空间规划编制计费指导意见》</w:t>
            </w:r>
            <w:r>
              <w:rPr>
                <w:rFonts w:hint="eastAsia" w:ascii="Times New Roman" w:hAnsi="Times New Roman" w:eastAsia="仿宋_GB2312" w:cs="Times New Roman"/>
                <w:sz w:val="22"/>
                <w:szCs w:val="22"/>
                <w:lang w:eastAsia="zh-CN"/>
              </w:rPr>
              <w:t>、</w:t>
            </w:r>
          </w:p>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《湖北省规划设计计费指导意见》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492"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33"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战略规划</w:t>
            </w:r>
          </w:p>
        </w:tc>
        <w:tc>
          <w:tcPr>
            <w:tcW w:w="727"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20万元/个</w:t>
            </w:r>
          </w:p>
        </w:tc>
        <w:tc>
          <w:tcPr>
            <w:tcW w:w="718"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1683"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644"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492"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规划</w:t>
            </w:r>
          </w:p>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评估</w:t>
            </w:r>
          </w:p>
        </w:tc>
        <w:tc>
          <w:tcPr>
            <w:tcW w:w="733"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规划成果</w:t>
            </w:r>
          </w:p>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评估</w:t>
            </w:r>
          </w:p>
        </w:tc>
        <w:tc>
          <w:tcPr>
            <w:tcW w:w="727"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15万元/个</w:t>
            </w:r>
          </w:p>
        </w:tc>
        <w:tc>
          <w:tcPr>
            <w:tcW w:w="718"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eastAsia" w:ascii="等线" w:hAnsi="等线" w:eastAsia="等线" w:cs="Times New Roman"/>
                <w:sz w:val="22"/>
                <w:szCs w:val="22"/>
              </w:rPr>
              <w:t>—</w:t>
            </w:r>
          </w:p>
        </w:tc>
        <w:tc>
          <w:tcPr>
            <w:tcW w:w="1683" w:type="pct"/>
            <w:shd w:val="clear" w:color="auto" w:fill="FFFFFF"/>
            <w:vAlign w:val="center"/>
          </w:tcPr>
          <w:p>
            <w:pPr>
              <w:keepNext w:val="0"/>
              <w:keepLines w:val="0"/>
              <w:suppressLineNumbers w:val="0"/>
              <w:spacing w:before="0" w:beforeAutospacing="0" w:after="0" w:afterAutospacing="0" w:line="240" w:lineRule="exact"/>
              <w:ind w:left="0" w:right="0"/>
              <w:jc w:val="left"/>
              <w:rPr>
                <w:rFonts w:hint="eastAsia" w:ascii="等线" w:hAnsi="等线" w:eastAsia="等线" w:cs="Times New Roman"/>
                <w:sz w:val="22"/>
                <w:szCs w:val="22"/>
              </w:rPr>
            </w:pPr>
            <w:r>
              <w:rPr>
                <w:rFonts w:hint="default" w:ascii="Times New Roman" w:hAnsi="Times New Roman" w:eastAsia="仿宋_GB2312" w:cs="Times New Roman"/>
                <w:sz w:val="22"/>
                <w:szCs w:val="22"/>
              </w:rPr>
              <w:t>单一规划局部评估、仅需出具基础评估报告，建议单价不超过15万元</w:t>
            </w:r>
            <w:r>
              <w:rPr>
                <w:rFonts w:hint="eastAsia" w:ascii="等线" w:hAnsi="等线" w:eastAsia="等线" w:cs="Times New Roman"/>
                <w:sz w:val="22"/>
                <w:szCs w:val="22"/>
              </w:rPr>
              <w:t>。</w:t>
            </w:r>
          </w:p>
        </w:tc>
        <w:tc>
          <w:tcPr>
            <w:tcW w:w="644"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《湖南省国土空间规划编制计费指导意见》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492"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33"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27"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18"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eastAsia" w:ascii="等线" w:hAnsi="等线" w:eastAsia="等线" w:cs="Times New Roman"/>
                <w:sz w:val="22"/>
                <w:szCs w:val="22"/>
              </w:rPr>
              <w:t>1.1-2.5</w:t>
            </w:r>
          </w:p>
        </w:tc>
        <w:tc>
          <w:tcPr>
            <w:tcW w:w="1683" w:type="pct"/>
            <w:shd w:val="clear" w:color="auto" w:fill="FFFFFF"/>
            <w:vAlign w:val="center"/>
          </w:tcPr>
          <w:p>
            <w:pPr>
              <w:keepNext w:val="0"/>
              <w:keepLines w:val="0"/>
              <w:suppressLineNumbers w:val="0"/>
              <w:spacing w:before="0" w:beforeAutospacing="0" w:after="0" w:afterAutospacing="0" w:line="240" w:lineRule="exact"/>
              <w:ind w:left="0" w:right="0"/>
              <w:jc w:val="left"/>
              <w:rPr>
                <w:rFonts w:hint="eastAsia" w:ascii="等线" w:hAnsi="等线" w:eastAsia="等线" w:cs="Times New Roman"/>
                <w:sz w:val="22"/>
                <w:szCs w:val="22"/>
              </w:rPr>
            </w:pPr>
            <w:r>
              <w:rPr>
                <w:rFonts w:hint="default" w:ascii="Times New Roman" w:hAnsi="Times New Roman" w:eastAsia="仿宋_GB2312" w:cs="Times New Roman"/>
                <w:sz w:val="22"/>
                <w:szCs w:val="22"/>
              </w:rPr>
              <w:t>评估成果用于政策调整与资金申报，需开展多维度数据分析与专家论证，建议根据资金申报额等要求，结合财政情况和市场行情商定具体调节系数。</w:t>
            </w:r>
          </w:p>
        </w:tc>
        <w:tc>
          <w:tcPr>
            <w:tcW w:w="644"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492" w:type="pct"/>
            <w:vMerge w:val="continue"/>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p>
        </w:tc>
        <w:tc>
          <w:tcPr>
            <w:tcW w:w="733"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咨询评估</w:t>
            </w:r>
          </w:p>
        </w:tc>
        <w:tc>
          <w:tcPr>
            <w:tcW w:w="727"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20万元/个</w:t>
            </w:r>
          </w:p>
        </w:tc>
        <w:tc>
          <w:tcPr>
            <w:tcW w:w="718"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eastAsia" w:ascii="等线" w:hAnsi="等线" w:eastAsia="等线" w:cs="Times New Roman"/>
                <w:sz w:val="22"/>
                <w:szCs w:val="22"/>
              </w:rPr>
              <w:t>—</w:t>
            </w:r>
          </w:p>
        </w:tc>
        <w:tc>
          <w:tcPr>
            <w:tcW w:w="1683" w:type="pct"/>
            <w:shd w:val="clear" w:color="auto" w:fill="FFFFFF"/>
            <w:vAlign w:val="center"/>
          </w:tcPr>
          <w:p>
            <w:pPr>
              <w:keepNext w:val="0"/>
              <w:keepLines w:val="0"/>
              <w:suppressLineNumbers w:val="0"/>
              <w:spacing w:before="0" w:beforeAutospacing="0" w:after="0" w:afterAutospacing="0" w:line="240" w:lineRule="exact"/>
              <w:ind w:left="0" w:right="0"/>
              <w:jc w:val="left"/>
              <w:rPr>
                <w:rFonts w:hint="eastAsia" w:ascii="等线" w:hAnsi="等线" w:eastAsia="等线" w:cs="Times New Roman"/>
                <w:sz w:val="22"/>
                <w:szCs w:val="22"/>
              </w:rPr>
            </w:pPr>
            <w:r>
              <w:rPr>
                <w:rFonts w:hint="default" w:ascii="Times New Roman" w:hAnsi="Times New Roman" w:eastAsia="仿宋_GB2312" w:cs="Times New Roman"/>
                <w:sz w:val="22"/>
                <w:szCs w:val="22"/>
              </w:rPr>
              <w:t>林业类咨询评估仅需出具基础评估报告，建议单价不超过20万元</w:t>
            </w:r>
            <w:r>
              <w:rPr>
                <w:rFonts w:hint="eastAsia" w:ascii="等线" w:hAnsi="等线" w:eastAsia="等线" w:cs="Times New Roman"/>
                <w:sz w:val="22"/>
                <w:szCs w:val="22"/>
              </w:rPr>
              <w:t>。</w:t>
            </w:r>
          </w:p>
        </w:tc>
        <w:tc>
          <w:tcPr>
            <w:tcW w:w="644" w:type="pct"/>
            <w:vMerge w:val="restar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default" w:ascii="Times New Roman" w:hAnsi="Times New Roman" w:eastAsia="仿宋_GB2312" w:cs="Times New Roman"/>
                <w:sz w:val="22"/>
                <w:szCs w:val="22"/>
              </w:rPr>
              <w:t>《林业和草原工程建设项目服务计费指导意见》林建协〔2024〕54号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492" w:type="pct"/>
            <w:vMerge w:val="continue"/>
            <w:shd w:val="clear" w:color="auto" w:fill="FFFFFF"/>
            <w:vAlign w:val="center"/>
          </w:tcPr>
          <w:p>
            <w:pPr>
              <w:keepNext w:val="0"/>
              <w:keepLines w:val="0"/>
              <w:suppressLineNumbers w:val="0"/>
              <w:spacing w:before="0" w:beforeAutospacing="0" w:after="0" w:afterAutospacing="0" w:line="240" w:lineRule="exact"/>
              <w:ind w:left="0" w:right="0"/>
              <w:jc w:val="left"/>
              <w:rPr>
                <w:rFonts w:hint="eastAsia" w:ascii="等线" w:hAnsi="等线" w:eastAsia="等线" w:cs="Times New Roman"/>
                <w:sz w:val="22"/>
                <w:szCs w:val="22"/>
              </w:rPr>
            </w:pPr>
          </w:p>
        </w:tc>
        <w:tc>
          <w:tcPr>
            <w:tcW w:w="733" w:type="pct"/>
            <w:vMerge w:val="continue"/>
            <w:shd w:val="clear" w:color="auto" w:fill="FFFFFF"/>
            <w:vAlign w:val="center"/>
          </w:tcPr>
          <w:p>
            <w:pPr>
              <w:keepNext w:val="0"/>
              <w:keepLines w:val="0"/>
              <w:suppressLineNumbers w:val="0"/>
              <w:spacing w:before="0" w:beforeAutospacing="0" w:after="0" w:afterAutospacing="0" w:line="240" w:lineRule="exact"/>
              <w:ind w:left="0" w:right="0"/>
              <w:jc w:val="left"/>
              <w:rPr>
                <w:rFonts w:hint="eastAsia" w:ascii="等线" w:hAnsi="等线" w:eastAsia="等线" w:cs="Times New Roman"/>
                <w:sz w:val="22"/>
                <w:szCs w:val="22"/>
              </w:rPr>
            </w:pPr>
          </w:p>
        </w:tc>
        <w:tc>
          <w:tcPr>
            <w:tcW w:w="727" w:type="pct"/>
            <w:vMerge w:val="continue"/>
            <w:shd w:val="clear" w:color="auto" w:fill="FFFFFF"/>
            <w:vAlign w:val="center"/>
          </w:tcPr>
          <w:p>
            <w:pPr>
              <w:keepNext w:val="0"/>
              <w:keepLines w:val="0"/>
              <w:suppressLineNumbers w:val="0"/>
              <w:spacing w:before="0" w:beforeAutospacing="0" w:after="0" w:afterAutospacing="0" w:line="240" w:lineRule="exact"/>
              <w:ind w:left="0" w:right="0"/>
              <w:jc w:val="left"/>
              <w:rPr>
                <w:rFonts w:hint="eastAsia" w:ascii="等线" w:hAnsi="等线" w:eastAsia="等线" w:cs="Times New Roman"/>
                <w:sz w:val="22"/>
                <w:szCs w:val="22"/>
              </w:rPr>
            </w:pPr>
          </w:p>
        </w:tc>
        <w:tc>
          <w:tcPr>
            <w:tcW w:w="718"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eastAsia" w:ascii="等线" w:hAnsi="等线" w:eastAsia="等线" w:cs="Times New Roman"/>
                <w:sz w:val="22"/>
                <w:szCs w:val="22"/>
              </w:rPr>
              <w:t>1.3—1.6</w:t>
            </w:r>
          </w:p>
        </w:tc>
        <w:tc>
          <w:tcPr>
            <w:tcW w:w="1683" w:type="pct"/>
            <w:shd w:val="clear" w:color="auto" w:fill="FFFFFF"/>
            <w:vAlign w:val="center"/>
          </w:tcPr>
          <w:p>
            <w:pPr>
              <w:keepNext w:val="0"/>
              <w:keepLines w:val="0"/>
              <w:suppressLineNumbers w:val="0"/>
              <w:spacing w:before="0" w:beforeAutospacing="0" w:after="0" w:afterAutospacing="0" w:line="240" w:lineRule="exact"/>
              <w:ind w:left="0" w:right="0"/>
              <w:rPr>
                <w:rFonts w:hint="eastAsia" w:ascii="等线" w:hAnsi="等线" w:eastAsia="等线" w:cs="Times New Roman"/>
                <w:sz w:val="22"/>
                <w:szCs w:val="22"/>
              </w:rPr>
            </w:pPr>
            <w:r>
              <w:rPr>
                <w:rFonts w:hint="default" w:ascii="Times New Roman" w:hAnsi="Times New Roman" w:eastAsia="仿宋_GB2312" w:cs="Times New Roman"/>
                <w:sz w:val="22"/>
                <w:szCs w:val="22"/>
              </w:rPr>
              <w:t>若专业深度为二级，建议按照规模范围（Z1）和专业深度（Z3）</w:t>
            </w:r>
            <w:r>
              <w:rPr>
                <w:rFonts w:hint="eastAsia" w:ascii="等线" w:hAnsi="等线" w:eastAsia="等线" w:cs="Times New Roman"/>
                <w:sz w:val="22"/>
                <w:szCs w:val="22"/>
              </w:rPr>
              <w:t>，建议按照</w:t>
            </w:r>
            <w:r>
              <w:rPr>
                <w:rFonts w:hint="default" w:ascii="Times New Roman" w:hAnsi="Times New Roman" w:eastAsia="仿宋_GB2312" w:cs="Times New Roman"/>
                <w:sz w:val="22"/>
                <w:szCs w:val="22"/>
              </w:rPr>
              <w:t>1.3—1.</w:t>
            </w:r>
            <w:r>
              <w:rPr>
                <w:rFonts w:hint="eastAsia" w:ascii="等线" w:hAnsi="等线" w:eastAsia="等线" w:cs="Times New Roman"/>
                <w:sz w:val="22"/>
                <w:szCs w:val="22"/>
              </w:rPr>
              <w:t>6</w:t>
            </w:r>
            <w:r>
              <w:rPr>
                <w:rFonts w:hint="default" w:ascii="Times New Roman" w:hAnsi="Times New Roman" w:eastAsia="仿宋_GB2312" w:cs="Times New Roman"/>
                <w:sz w:val="22"/>
                <w:szCs w:val="22"/>
              </w:rPr>
              <w:t>系数调节</w:t>
            </w:r>
            <w:r>
              <w:rPr>
                <w:rFonts w:hint="eastAsia" w:ascii="等线" w:hAnsi="等线" w:eastAsia="等线" w:cs="Times New Roman"/>
                <w:sz w:val="22"/>
                <w:szCs w:val="22"/>
              </w:rPr>
              <w:t>。</w:t>
            </w:r>
          </w:p>
        </w:tc>
        <w:tc>
          <w:tcPr>
            <w:tcW w:w="644" w:type="pct"/>
            <w:vMerge w:val="continue"/>
            <w:shd w:val="clear" w:color="auto" w:fill="FFFFFF"/>
            <w:vAlign w:val="center"/>
          </w:tcPr>
          <w:p>
            <w:pPr>
              <w:keepNext w:val="0"/>
              <w:keepLines w:val="0"/>
              <w:suppressLineNumbers w:val="0"/>
              <w:spacing w:before="0" w:beforeAutospacing="0" w:after="0" w:afterAutospacing="0" w:line="240" w:lineRule="exact"/>
              <w:ind w:left="0" w:right="0"/>
              <w:jc w:val="left"/>
              <w:rPr>
                <w:rFonts w:hint="eastAsia" w:ascii="等线" w:hAnsi="等线" w:eastAsia="等线"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492" w:type="pct"/>
            <w:vMerge w:val="continue"/>
            <w:shd w:val="clear" w:color="auto" w:fill="FFFFFF"/>
            <w:vAlign w:val="center"/>
          </w:tcPr>
          <w:p>
            <w:pPr>
              <w:keepNext w:val="0"/>
              <w:keepLines w:val="0"/>
              <w:suppressLineNumbers w:val="0"/>
              <w:spacing w:before="0" w:beforeAutospacing="0" w:after="0" w:afterAutospacing="0" w:line="240" w:lineRule="exact"/>
              <w:ind w:left="0" w:right="0"/>
              <w:jc w:val="left"/>
              <w:rPr>
                <w:rFonts w:hint="eastAsia" w:ascii="等线" w:hAnsi="等线" w:eastAsia="等线" w:cs="Times New Roman"/>
                <w:sz w:val="22"/>
                <w:szCs w:val="22"/>
              </w:rPr>
            </w:pPr>
          </w:p>
        </w:tc>
        <w:tc>
          <w:tcPr>
            <w:tcW w:w="733" w:type="pct"/>
            <w:vMerge w:val="continue"/>
            <w:shd w:val="clear" w:color="auto" w:fill="FFFFFF"/>
            <w:vAlign w:val="center"/>
          </w:tcPr>
          <w:p>
            <w:pPr>
              <w:keepNext w:val="0"/>
              <w:keepLines w:val="0"/>
              <w:suppressLineNumbers w:val="0"/>
              <w:spacing w:before="0" w:beforeAutospacing="0" w:after="0" w:afterAutospacing="0" w:line="240" w:lineRule="exact"/>
              <w:ind w:left="0" w:right="0"/>
              <w:jc w:val="left"/>
              <w:rPr>
                <w:rFonts w:hint="eastAsia" w:ascii="等线" w:hAnsi="等线" w:eastAsia="等线" w:cs="Times New Roman"/>
                <w:sz w:val="22"/>
                <w:szCs w:val="22"/>
              </w:rPr>
            </w:pPr>
          </w:p>
        </w:tc>
        <w:tc>
          <w:tcPr>
            <w:tcW w:w="727" w:type="pct"/>
            <w:vMerge w:val="continue"/>
            <w:shd w:val="clear" w:color="auto" w:fill="FFFFFF"/>
            <w:vAlign w:val="center"/>
          </w:tcPr>
          <w:p>
            <w:pPr>
              <w:keepNext w:val="0"/>
              <w:keepLines w:val="0"/>
              <w:suppressLineNumbers w:val="0"/>
              <w:spacing w:before="0" w:beforeAutospacing="0" w:after="0" w:afterAutospacing="0" w:line="240" w:lineRule="exact"/>
              <w:ind w:left="0" w:right="0"/>
              <w:jc w:val="left"/>
              <w:rPr>
                <w:rFonts w:hint="eastAsia" w:ascii="等线" w:hAnsi="等线" w:eastAsia="等线" w:cs="Times New Roman"/>
                <w:sz w:val="22"/>
                <w:szCs w:val="22"/>
              </w:rPr>
            </w:pPr>
          </w:p>
        </w:tc>
        <w:tc>
          <w:tcPr>
            <w:tcW w:w="718" w:type="pct"/>
            <w:shd w:val="clear" w:color="auto" w:fill="FFFFFF"/>
            <w:vAlign w:val="center"/>
          </w:tcPr>
          <w:p>
            <w:pPr>
              <w:keepNext w:val="0"/>
              <w:keepLines w:val="0"/>
              <w:suppressLineNumbers w:val="0"/>
              <w:spacing w:before="0" w:beforeAutospacing="0" w:after="0" w:afterAutospacing="0" w:line="240" w:lineRule="exact"/>
              <w:ind w:left="0" w:right="0"/>
              <w:jc w:val="center"/>
              <w:rPr>
                <w:rFonts w:hint="eastAsia" w:ascii="等线" w:hAnsi="等线" w:eastAsia="等线" w:cs="Times New Roman"/>
                <w:sz w:val="22"/>
                <w:szCs w:val="22"/>
              </w:rPr>
            </w:pPr>
            <w:r>
              <w:rPr>
                <w:rFonts w:hint="eastAsia" w:ascii="等线" w:hAnsi="等线" w:eastAsia="等线" w:cs="Times New Roman"/>
                <w:sz w:val="22"/>
                <w:szCs w:val="22"/>
              </w:rPr>
              <w:t>1.7—2</w:t>
            </w:r>
          </w:p>
        </w:tc>
        <w:tc>
          <w:tcPr>
            <w:tcW w:w="1683" w:type="pct"/>
            <w:shd w:val="clear" w:color="auto" w:fill="FFFFFF"/>
            <w:vAlign w:val="center"/>
          </w:tcPr>
          <w:p>
            <w:pPr>
              <w:keepNext w:val="0"/>
              <w:keepLines w:val="0"/>
              <w:suppressLineNumbers w:val="0"/>
              <w:spacing w:before="0" w:beforeAutospacing="0" w:after="0" w:afterAutospacing="0" w:line="240" w:lineRule="exact"/>
              <w:ind w:left="0" w:right="0"/>
              <w:rPr>
                <w:rFonts w:hint="eastAsia" w:ascii="等线" w:hAnsi="等线" w:eastAsia="等线" w:cs="Times New Roman"/>
                <w:sz w:val="22"/>
                <w:szCs w:val="22"/>
              </w:rPr>
            </w:pPr>
            <w:r>
              <w:rPr>
                <w:rFonts w:hint="default" w:ascii="Times New Roman" w:hAnsi="Times New Roman" w:eastAsia="仿宋_GB2312" w:cs="Times New Roman"/>
                <w:sz w:val="22"/>
                <w:szCs w:val="22"/>
              </w:rPr>
              <w:t>若专业深度为一级，建议按照规模范围（Z1）和专业深度（Z3）</w:t>
            </w:r>
            <w:r>
              <w:rPr>
                <w:rFonts w:hint="eastAsia" w:ascii="等线" w:hAnsi="等线" w:eastAsia="等线" w:cs="Times New Roman"/>
                <w:sz w:val="22"/>
                <w:szCs w:val="22"/>
              </w:rPr>
              <w:t>，建议按照</w:t>
            </w:r>
            <w:r>
              <w:rPr>
                <w:rFonts w:hint="default" w:ascii="Times New Roman" w:hAnsi="Times New Roman" w:eastAsia="仿宋_GB2312" w:cs="Times New Roman"/>
                <w:sz w:val="22"/>
                <w:szCs w:val="22"/>
              </w:rPr>
              <w:t>1.</w:t>
            </w:r>
            <w:r>
              <w:rPr>
                <w:rFonts w:hint="eastAsia" w:ascii="等线" w:hAnsi="等线" w:eastAsia="等线" w:cs="Times New Roman"/>
                <w:sz w:val="22"/>
                <w:szCs w:val="22"/>
              </w:rPr>
              <w:t>7</w:t>
            </w:r>
            <w:r>
              <w:rPr>
                <w:rFonts w:hint="default" w:ascii="Times New Roman" w:hAnsi="Times New Roman" w:eastAsia="仿宋_GB2312" w:cs="Times New Roman"/>
                <w:sz w:val="22"/>
                <w:szCs w:val="22"/>
              </w:rPr>
              <w:t>—</w:t>
            </w:r>
            <w:r>
              <w:rPr>
                <w:rFonts w:hint="eastAsia" w:ascii="等线" w:hAnsi="等线" w:eastAsia="等线" w:cs="Times New Roman"/>
                <w:sz w:val="22"/>
                <w:szCs w:val="22"/>
              </w:rPr>
              <w:t>2</w:t>
            </w:r>
            <w:r>
              <w:rPr>
                <w:rFonts w:hint="default" w:ascii="Times New Roman" w:hAnsi="Times New Roman" w:eastAsia="仿宋_GB2312" w:cs="Times New Roman"/>
                <w:sz w:val="22"/>
                <w:szCs w:val="22"/>
              </w:rPr>
              <w:t>系数</w:t>
            </w:r>
            <w:r>
              <w:rPr>
                <w:rFonts w:hint="eastAsia" w:ascii="等线" w:hAnsi="等线" w:eastAsia="等线" w:cs="Times New Roman"/>
                <w:sz w:val="22"/>
                <w:szCs w:val="22"/>
              </w:rPr>
              <w:t>调节。注：与“国土空间”相关的咨询评估参照镇总体规划进行调整。</w:t>
            </w:r>
          </w:p>
        </w:tc>
        <w:tc>
          <w:tcPr>
            <w:tcW w:w="644" w:type="pct"/>
            <w:vMerge w:val="continue"/>
            <w:shd w:val="clear" w:color="auto" w:fill="FFFFFF"/>
            <w:vAlign w:val="center"/>
          </w:tcPr>
          <w:p>
            <w:pPr>
              <w:keepNext w:val="0"/>
              <w:keepLines w:val="0"/>
              <w:suppressLineNumbers w:val="0"/>
              <w:spacing w:before="0" w:beforeAutospacing="0" w:after="0" w:afterAutospacing="0" w:line="240" w:lineRule="exact"/>
              <w:ind w:left="0" w:right="0"/>
              <w:jc w:val="left"/>
              <w:rPr>
                <w:rFonts w:hint="eastAsia" w:ascii="等线" w:hAnsi="等线" w:eastAsia="等线" w:cs="Times New Roman"/>
                <w:sz w:val="22"/>
                <w:szCs w:val="22"/>
              </w:rPr>
            </w:pPr>
          </w:p>
        </w:tc>
      </w:tr>
    </w:tbl>
    <w:p>
      <w:pPr>
        <w:widowControl w:val="0"/>
        <w:numPr>
          <w:ilvl w:val="0"/>
          <w:numId w:val="0"/>
        </w:numPr>
        <w:adjustRightInd w:val="0"/>
        <w:spacing w:before="120" w:after="60" w:line="500" w:lineRule="exact"/>
        <w:ind w:firstLine="720" w:firstLineChars="200"/>
        <w:jc w:val="left"/>
        <w:outlineLvl w:val="0"/>
        <w:rPr>
          <w:rFonts w:ascii="Times New Roman" w:hAnsi="Times New Roman" w:eastAsia="黑体" w:cs="Times New Roman"/>
          <w:bCs/>
          <w:kern w:val="44"/>
          <w:sz w:val="36"/>
          <w:szCs w:val="48"/>
          <w:lang w:val="zh-CN" w:eastAsia="zh-CN" w:bidi="ar-SA"/>
        </w:rPr>
      </w:pPr>
      <w:r>
        <w:rPr>
          <w:rFonts w:hint="eastAsia" w:ascii="Times New Roman" w:hAnsi="Times New Roman" w:eastAsia="黑体" w:cs="Times New Roman"/>
          <w:bCs/>
          <w:kern w:val="44"/>
          <w:sz w:val="36"/>
          <w:szCs w:val="48"/>
          <w:lang w:val="en-US" w:eastAsia="zh-CN" w:bidi="ar-SA"/>
        </w:rPr>
        <w:t>四、</w:t>
      </w:r>
      <w:r>
        <w:rPr>
          <w:rFonts w:ascii="Times New Roman" w:hAnsi="Times New Roman" w:eastAsia="黑体" w:cs="Times New Roman"/>
          <w:bCs/>
          <w:kern w:val="44"/>
          <w:sz w:val="36"/>
          <w:szCs w:val="48"/>
          <w:lang w:val="zh-CN" w:eastAsia="zh-CN" w:bidi="ar-SA"/>
        </w:rPr>
        <w:t>其他说明</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（一）盛乐镇、巧什营镇及城关镇作为呼和浩特市城市副中心及县政府驻地，其详细规划编制可采取“一事一议”方式推进。</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（二）《和林格尔县国民经济和社会发展第十五个五年规划纲要》编制项目预算不适用本支出标准，另行核定。</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（三）规划评估类中涉及国土空间规划的咨询评估项目，可参照国土空间规划相关规定，实行“一事一议”。</w:t>
      </w:r>
    </w:p>
    <w:p>
      <w:pPr>
        <w:widowControl w:val="0"/>
        <w:spacing w:line="500" w:lineRule="exact"/>
        <w:ind w:firstLine="640" w:firstLineChars="200"/>
        <w:jc w:val="both"/>
        <w:rPr>
          <w:rFonts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zh-CN" w:eastAsia="zh-CN" w:bidi="ar-SA"/>
        </w:rPr>
        <w:t>（四）本支出标准（试行）自印发之日起施行，有效期为</w:t>
      </w:r>
      <w:r>
        <w:rPr>
          <w:rFonts w:hint="eastAsia" w:ascii="仿宋_GB2312" w:hAnsi="仿宋_GB2312" w:eastAsia="仿宋_GB2312" w:cs="仿宋_GB2312"/>
          <w:kern w:val="0"/>
          <w:sz w:val="32"/>
          <w:szCs w:val="32"/>
          <w:lang w:val="zh-CN" w:eastAsia="zh-CN" w:bidi="ar-SA"/>
        </w:rPr>
        <w:t>两</w:t>
      </w:r>
      <w:r>
        <w:rPr>
          <w:rFonts w:hint="eastAsia" w:ascii="Times New Roman" w:hAnsi="Times New Roman" w:eastAsia="仿宋_GB2312" w:cs="Times New Roman"/>
          <w:kern w:val="0"/>
          <w:sz w:val="32"/>
          <w:szCs w:val="32"/>
          <w:lang w:val="zh-CN" w:eastAsia="zh-CN" w:bidi="ar-SA"/>
        </w:rPr>
        <w:t>年。</w:t>
      </w:r>
    </w:p>
    <w:p>
      <w:pPr>
        <w:widowControl w:val="0"/>
        <w:spacing w:line="500" w:lineRule="exact"/>
        <w:jc w:val="both"/>
        <w:rPr>
          <w:rFonts w:hint="default" w:ascii="仿宋_GB2312" w:hAnsi="仿宋_GB2312" w:eastAsia="仿宋_GB2312" w:cs="仿宋_GB2312"/>
          <w:kern w:val="0"/>
          <w:sz w:val="36"/>
          <w:szCs w:val="36"/>
          <w:lang w:val="en-US" w:eastAsia="zh-CN" w:bidi="ar-SA"/>
        </w:rPr>
      </w:pPr>
    </w:p>
    <w:p>
      <w:pPr>
        <w:pStyle w:val="15"/>
        <w:jc w:val="both"/>
        <w:rPr>
          <w:rFonts w:hint="eastAsia"/>
        </w:rPr>
      </w:pPr>
    </w:p>
    <w:p>
      <w:pPr>
        <w:rPr>
          <w:rFonts w:hint="eastAsia" w:ascii="黑体" w:hAnsi="黑体" w:eastAsia="黑体" w:cs="黑体"/>
          <w:sz w:val="32"/>
          <w:szCs w:val="32"/>
          <w:lang w:val="en-US" w:eastAsia="zh-CN"/>
        </w:rPr>
        <w:sectPr>
          <w:footerReference r:id="rId4" w:type="default"/>
          <w:pgSz w:w="11906" w:h="16838"/>
          <w:pgMar w:top="2098" w:right="1474" w:bottom="1984" w:left="1587" w:header="851" w:footer="1304" w:gutter="0"/>
          <w:pgNumType w:fmt="decimal"/>
          <w:cols w:space="425" w:num="1"/>
          <w:docGrid w:type="lines" w:linePitch="312" w:charSpace="0"/>
        </w:sectPr>
      </w:pPr>
    </w:p>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附件三</w:t>
      </w:r>
    </w:p>
    <w:p>
      <w:pPr>
        <w:widowControl w:val="0"/>
        <w:spacing w:before="120" w:after="60" w:line="500" w:lineRule="exact"/>
        <w:ind w:firstLine="720" w:firstLineChars="200"/>
        <w:jc w:val="center"/>
        <w:rPr>
          <w:rFonts w:hint="eastAsia" w:ascii="黑体" w:hAnsi="黑体" w:eastAsia="黑体" w:cs="Times New Roman"/>
          <w:kern w:val="0"/>
          <w:sz w:val="36"/>
          <w:szCs w:val="36"/>
          <w:lang w:val="zh-CN" w:eastAsia="zh-CN" w:bidi="ar"/>
        </w:rPr>
      </w:pPr>
    </w:p>
    <w:p>
      <w:pPr>
        <w:widowControl w:val="0"/>
        <w:spacing w:before="120" w:after="60" w:line="500" w:lineRule="exact"/>
        <w:ind w:firstLine="800" w:firstLineChars="200"/>
        <w:jc w:val="center"/>
        <w:rPr>
          <w:rFonts w:ascii="Times New Roman" w:hAnsi="Times New Roman" w:eastAsia="华文中宋" w:cs="Times New Roman"/>
          <w:b/>
          <w:kern w:val="2"/>
          <w:sz w:val="40"/>
          <w:szCs w:val="40"/>
          <w:lang w:val="en-US" w:eastAsia="zh-CN" w:bidi="ar-SA"/>
        </w:rPr>
      </w:pPr>
      <w:r>
        <w:rPr>
          <w:rFonts w:hint="eastAsia" w:ascii="方正小标宋简体" w:hAnsi="方正小标宋简体" w:eastAsia="方正小标宋简体" w:cs="方正小标宋简体"/>
          <w:b w:val="0"/>
          <w:bCs/>
          <w:kern w:val="2"/>
          <w:sz w:val="40"/>
          <w:szCs w:val="40"/>
          <w:lang w:val="en-US" w:eastAsia="zh-CN" w:bidi="ar-SA"/>
        </w:rPr>
        <w:t>绿化养护项目支出标准（试行）</w:t>
      </w:r>
    </w:p>
    <w:p>
      <w:pPr>
        <w:widowControl w:val="0"/>
        <w:spacing w:before="120" w:after="60" w:line="500" w:lineRule="exact"/>
        <w:ind w:firstLine="800" w:firstLineChars="200"/>
        <w:jc w:val="center"/>
        <w:rPr>
          <w:rFonts w:hint="eastAsia" w:ascii="黑体" w:hAnsi="黑体" w:eastAsia="黑体" w:cs="Times New Roman"/>
          <w:kern w:val="0"/>
          <w:sz w:val="40"/>
          <w:szCs w:val="40"/>
          <w:lang w:val="zh-CN" w:eastAsia="zh-CN" w:bidi="ar-SA"/>
        </w:rPr>
      </w:pP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
        </w:rPr>
        <w:t>为落实《内蒙古自治区实施零基预算改革三年行动方案（2025—2027年）》《和林格尔县本级零基预算改革实施方案》要求，规范林格尔县绿化养护项目支出预算管理，根据《园林绿化养护标准》（CJJ/T 287-2018）、《园林绿化工程消耗量定额》等行业标准与规范，以铸牢中华民族共同体意识为主线，结合绿化养护工作实际，制定本支出标准。</w:t>
      </w:r>
    </w:p>
    <w:p>
      <w:pPr>
        <w:widowControl w:val="0"/>
        <w:numPr>
          <w:ilvl w:val="0"/>
          <w:numId w:val="4"/>
        </w:numPr>
        <w:adjustRightInd w:val="0"/>
        <w:spacing w:before="120" w:after="60" w:line="500" w:lineRule="exact"/>
        <w:ind w:left="0" w:firstLine="720" w:firstLineChars="200"/>
        <w:jc w:val="left"/>
        <w:outlineLvl w:val="0"/>
        <w:rPr>
          <w:rFonts w:ascii="Times New Roman" w:hAnsi="Times New Roman" w:eastAsia="黑体" w:cs="Times New Roman"/>
          <w:bCs/>
          <w:kern w:val="44"/>
          <w:sz w:val="36"/>
          <w:szCs w:val="48"/>
          <w:lang w:val="zh-CN" w:eastAsia="zh-CN" w:bidi="ar-SA"/>
        </w:rPr>
      </w:pPr>
      <w:r>
        <w:rPr>
          <w:rFonts w:ascii="Times New Roman" w:hAnsi="Times New Roman" w:eastAsia="黑体" w:cs="Times New Roman"/>
          <w:bCs/>
          <w:kern w:val="44"/>
          <w:sz w:val="36"/>
          <w:szCs w:val="48"/>
          <w:lang w:val="zh-CN" w:eastAsia="zh-CN" w:bidi="ar-SA"/>
        </w:rPr>
        <w:t>适用范围</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本标准适用于和林格尔县住房和城乡建设局（含园林绿化管理中心）编报县本级绿化养护项目预算支出。项目部分内容通过公开招标方式选定服务商实施，应同时遵守政府采购相关法律法规。</w:t>
      </w:r>
    </w:p>
    <w:p>
      <w:pPr>
        <w:widowControl w:val="0"/>
        <w:numPr>
          <w:ilvl w:val="0"/>
          <w:numId w:val="4"/>
        </w:numPr>
        <w:adjustRightInd w:val="0"/>
        <w:spacing w:before="120" w:after="60" w:line="500" w:lineRule="exact"/>
        <w:ind w:left="0" w:firstLine="720" w:firstLineChars="200"/>
        <w:jc w:val="left"/>
        <w:outlineLvl w:val="0"/>
        <w:rPr>
          <w:rFonts w:ascii="Times New Roman" w:hAnsi="Times New Roman" w:eastAsia="黑体" w:cs="Times New Roman"/>
          <w:bCs/>
          <w:kern w:val="44"/>
          <w:sz w:val="36"/>
          <w:szCs w:val="48"/>
          <w:lang w:val="zh-CN" w:eastAsia="zh-CN" w:bidi="ar-SA"/>
        </w:rPr>
      </w:pPr>
      <w:r>
        <w:rPr>
          <w:rFonts w:hint="eastAsia" w:ascii="Times New Roman" w:hAnsi="Times New Roman" w:eastAsia="黑体" w:cs="Times New Roman"/>
          <w:bCs/>
          <w:kern w:val="44"/>
          <w:sz w:val="36"/>
          <w:szCs w:val="48"/>
          <w:lang w:val="en-US" w:eastAsia="zh-CN" w:bidi="ar-SA"/>
        </w:rPr>
        <w:t>编制</w:t>
      </w:r>
      <w:r>
        <w:rPr>
          <w:rFonts w:ascii="Times New Roman" w:hAnsi="Times New Roman" w:eastAsia="黑体" w:cs="Times New Roman"/>
          <w:bCs/>
          <w:kern w:val="44"/>
          <w:sz w:val="36"/>
          <w:szCs w:val="48"/>
          <w:lang w:val="zh-CN" w:eastAsia="zh-CN" w:bidi="ar-SA"/>
        </w:rPr>
        <w:t>依据</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本标准主要参照《园林绿化养护标准》（CJJ/T 287-2018）、《园林绿化工程消耗量定额》等行业标准与规范，结合和林格尔县2023-2025年绿化养护项目历史实施数据、市场价格水平及未来养护需求制定，是编制和审核和林格尔县绿化养护项目预算的基本依据</w:t>
      </w:r>
      <w:r>
        <w:rPr>
          <w:rFonts w:ascii="Times New Roman" w:hAnsi="Times New Roman" w:eastAsia="仿宋_GB2312" w:cs="Times New Roman"/>
          <w:kern w:val="0"/>
          <w:sz w:val="32"/>
          <w:szCs w:val="32"/>
          <w:lang w:val="zh-CN" w:eastAsia="zh-CN" w:bidi="ar-SA"/>
        </w:rPr>
        <w:t>。</w:t>
      </w:r>
    </w:p>
    <w:p>
      <w:pPr>
        <w:widowControl w:val="0"/>
        <w:numPr>
          <w:ilvl w:val="0"/>
          <w:numId w:val="4"/>
        </w:numPr>
        <w:adjustRightInd w:val="0"/>
        <w:spacing w:before="120" w:after="60" w:line="500" w:lineRule="exact"/>
        <w:ind w:left="0" w:firstLine="720" w:firstLineChars="200"/>
        <w:jc w:val="left"/>
        <w:outlineLvl w:val="0"/>
        <w:rPr>
          <w:rFonts w:ascii="Times New Roman" w:hAnsi="Times New Roman" w:eastAsia="黑体" w:cs="Times New Roman"/>
          <w:bCs/>
          <w:kern w:val="44"/>
          <w:sz w:val="36"/>
          <w:szCs w:val="48"/>
          <w:lang w:val="zh-CN" w:eastAsia="zh-CN" w:bidi="ar-SA"/>
        </w:rPr>
      </w:pPr>
      <w:r>
        <w:rPr>
          <w:rFonts w:ascii="Times New Roman" w:hAnsi="Times New Roman" w:eastAsia="黑体" w:cs="Times New Roman"/>
          <w:bCs/>
          <w:kern w:val="44"/>
          <w:sz w:val="36"/>
          <w:szCs w:val="48"/>
          <w:lang w:val="zh-CN" w:eastAsia="zh-CN" w:bidi="ar-SA"/>
        </w:rPr>
        <w:t>支出标准</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项目预算主要由直接养护成本、及专项费用构成。直接养护成本按植物类型（乔木、单株灌木、片植灌木、草坪地被）及单位工程量进行核定。</w:t>
      </w:r>
    </w:p>
    <w:p>
      <w:pPr>
        <w:widowControl w:val="0"/>
        <w:spacing w:line="500" w:lineRule="exact"/>
        <w:ind w:firstLine="642" w:firstLineChars="200"/>
        <w:jc w:val="both"/>
        <w:rPr>
          <w:rFonts w:ascii="Times New Roman" w:hAnsi="Times New Roman" w:eastAsia="仿宋_GB2312" w:cs="Times New Roman"/>
          <w:b/>
          <w:bCs/>
          <w:kern w:val="0"/>
          <w:sz w:val="32"/>
          <w:szCs w:val="32"/>
          <w:lang w:val="zh-CN" w:eastAsia="zh-CN" w:bidi="ar-SA"/>
        </w:rPr>
      </w:pPr>
      <w:r>
        <w:rPr>
          <w:rFonts w:hint="eastAsia" w:ascii="Times New Roman" w:hAnsi="Times New Roman" w:eastAsia="仿宋_GB2312" w:cs="Times New Roman"/>
          <w:b/>
          <w:bCs/>
          <w:kern w:val="0"/>
          <w:sz w:val="32"/>
          <w:szCs w:val="32"/>
          <w:lang w:val="zh-CN" w:eastAsia="zh-CN" w:bidi="ar-SA"/>
        </w:rPr>
        <w:t>（1）直接养护成本单价标准</w:t>
      </w:r>
    </w:p>
    <w:p>
      <w:pPr>
        <w:widowControl w:val="0"/>
        <w:spacing w:line="240" w:lineRule="auto"/>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根据核定后的各工序消耗定额与单价，计算得出各类植物年度养护单价如下表所示：</w:t>
      </w:r>
    </w:p>
    <w:p>
      <w:pPr>
        <w:ind w:firstLine="482"/>
        <w:jc w:val="center"/>
        <w:rPr>
          <w:rFonts w:hint="eastAsia" w:ascii="仿宋_GB2312" w:hAnsi="仿宋_GB2312" w:eastAsia="仿宋_GB2312" w:cs="仿宋_GB2312"/>
          <w:sz w:val="22"/>
          <w:szCs w:val="36"/>
        </w:rPr>
      </w:pPr>
      <w:r>
        <w:rPr>
          <w:rFonts w:hint="eastAsia" w:ascii="仿宋_GB2312" w:hAnsi="仿宋_GB2312" w:eastAsia="仿宋_GB2312" w:cs="仿宋_GB2312"/>
          <w:b/>
          <w:bCs/>
          <w:sz w:val="28"/>
          <w:szCs w:val="28"/>
        </w:rPr>
        <w:t>表 和林格尔县绿化养护专用支出标准分类一览表</w:t>
      </w:r>
    </w:p>
    <w:p>
      <w:pPr>
        <w:ind w:firstLine="640"/>
        <w:rPr>
          <w:rFonts w:hint="eastAsia" w:ascii="仿宋_GB2312" w:hAnsi="仿宋_GB2312" w:eastAsia="仿宋_GB2312" w:cs="仿宋_GB2312"/>
          <w:b/>
          <w:bCs/>
          <w:sz w:val="28"/>
          <w:szCs w:val="28"/>
        </w:rPr>
      </w:pPr>
      <w:r>
        <w:rPr>
          <w:rFonts w:hint="eastAsia" w:ascii="仿宋_GB2312" w:hAnsi="仿宋_GB2312" w:eastAsia="仿宋_GB2312" w:cs="仿宋_GB2312"/>
          <w:sz w:val="36"/>
          <w:szCs w:val="36"/>
        </w:rPr>
        <w:t xml:space="preserve">                                        </w:t>
      </w:r>
      <w:r>
        <w:rPr>
          <w:rFonts w:hint="eastAsia" w:ascii="仿宋_GB2312" w:hAnsi="仿宋_GB2312" w:eastAsia="仿宋_GB2312" w:cs="仿宋_GB2312"/>
          <w:b/>
          <w:bCs/>
          <w:sz w:val="28"/>
          <w:szCs w:val="28"/>
        </w:rPr>
        <w:t>单位：元</w:t>
      </w:r>
    </w:p>
    <w:tbl>
      <w:tblPr>
        <w:tblStyle w:val="1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6"/>
        <w:gridCol w:w="927"/>
        <w:gridCol w:w="778"/>
        <w:gridCol w:w="778"/>
        <w:gridCol w:w="778"/>
        <w:gridCol w:w="1531"/>
        <w:gridCol w:w="878"/>
        <w:gridCol w:w="16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95" w:type="dxa"/>
            <w:shd w:val="clear" w:color="auto" w:fill="D7D7D7" w:themeFill="background1" w:themeFillShade="D8"/>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b/>
                <w:sz w:val="24"/>
                <w:szCs w:val="24"/>
              </w:rPr>
            </w:pPr>
            <w:r>
              <w:rPr>
                <w:rFonts w:hint="eastAsia" w:ascii="仿宋" w:hAnsi="仿宋" w:eastAsia="仿宋" w:cs="仿宋"/>
                <w:b/>
                <w:sz w:val="24"/>
                <w:szCs w:val="24"/>
              </w:rPr>
              <w:t>养护类型</w:t>
            </w:r>
          </w:p>
        </w:tc>
        <w:tc>
          <w:tcPr>
            <w:tcW w:w="929" w:type="dxa"/>
            <w:shd w:val="clear" w:color="auto" w:fill="D7D7D7" w:themeFill="background1" w:themeFillShade="D8"/>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b/>
                <w:sz w:val="24"/>
                <w:szCs w:val="24"/>
              </w:rPr>
            </w:pPr>
            <w:r>
              <w:rPr>
                <w:rFonts w:hint="eastAsia" w:ascii="仿宋" w:hAnsi="仿宋" w:eastAsia="仿宋" w:cs="仿宋"/>
                <w:b/>
                <w:sz w:val="24"/>
                <w:szCs w:val="24"/>
              </w:rPr>
              <w:t>水费</w:t>
            </w:r>
          </w:p>
        </w:tc>
        <w:tc>
          <w:tcPr>
            <w:tcW w:w="778" w:type="dxa"/>
            <w:shd w:val="clear" w:color="auto" w:fill="D7D7D7" w:themeFill="background1" w:themeFillShade="D8"/>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b/>
                <w:sz w:val="24"/>
                <w:szCs w:val="24"/>
              </w:rPr>
            </w:pPr>
            <w:r>
              <w:rPr>
                <w:rFonts w:hint="eastAsia" w:ascii="仿宋" w:hAnsi="仿宋" w:eastAsia="仿宋" w:cs="仿宋"/>
                <w:b/>
                <w:sz w:val="24"/>
                <w:szCs w:val="24"/>
              </w:rPr>
              <w:t>劳务费</w:t>
            </w:r>
          </w:p>
        </w:tc>
        <w:tc>
          <w:tcPr>
            <w:tcW w:w="778" w:type="dxa"/>
            <w:shd w:val="clear" w:color="auto" w:fill="D7D7D7" w:themeFill="background1" w:themeFillShade="D8"/>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b/>
                <w:sz w:val="24"/>
                <w:szCs w:val="24"/>
              </w:rPr>
            </w:pPr>
            <w:r>
              <w:rPr>
                <w:rFonts w:hint="eastAsia" w:ascii="仿宋" w:hAnsi="仿宋" w:eastAsia="仿宋" w:cs="仿宋"/>
                <w:b/>
                <w:sz w:val="24"/>
                <w:szCs w:val="24"/>
              </w:rPr>
              <w:t>肥料费</w:t>
            </w:r>
          </w:p>
        </w:tc>
        <w:tc>
          <w:tcPr>
            <w:tcW w:w="778" w:type="dxa"/>
            <w:shd w:val="clear" w:color="auto" w:fill="D7D7D7" w:themeFill="background1" w:themeFillShade="D8"/>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b/>
                <w:sz w:val="24"/>
                <w:szCs w:val="24"/>
              </w:rPr>
            </w:pPr>
            <w:r>
              <w:rPr>
                <w:rFonts w:hint="eastAsia" w:ascii="仿宋" w:hAnsi="仿宋" w:eastAsia="仿宋" w:cs="仿宋"/>
                <w:b/>
                <w:sz w:val="24"/>
                <w:szCs w:val="24"/>
              </w:rPr>
              <w:t>药剂费</w:t>
            </w:r>
          </w:p>
        </w:tc>
        <w:tc>
          <w:tcPr>
            <w:tcW w:w="1542" w:type="dxa"/>
            <w:shd w:val="clear" w:color="auto" w:fill="D7D7D7" w:themeFill="background1" w:themeFillShade="D8"/>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b/>
                <w:sz w:val="24"/>
                <w:szCs w:val="24"/>
              </w:rPr>
            </w:pPr>
            <w:r>
              <w:rPr>
                <w:rFonts w:hint="eastAsia" w:ascii="仿宋" w:hAnsi="仿宋" w:eastAsia="仿宋" w:cs="仿宋"/>
                <w:b/>
                <w:sz w:val="24"/>
                <w:szCs w:val="24"/>
              </w:rPr>
              <w:t>五金工具及劳保消耗</w:t>
            </w:r>
          </w:p>
        </w:tc>
        <w:tc>
          <w:tcPr>
            <w:tcW w:w="846" w:type="dxa"/>
            <w:shd w:val="clear" w:color="auto" w:fill="D7D7D7" w:themeFill="background1" w:themeFillShade="D8"/>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b/>
                <w:sz w:val="24"/>
                <w:szCs w:val="24"/>
              </w:rPr>
            </w:pPr>
            <w:r>
              <w:rPr>
                <w:rFonts w:hint="eastAsia" w:ascii="仿宋" w:hAnsi="仿宋" w:eastAsia="仿宋" w:cs="仿宋"/>
                <w:b/>
                <w:sz w:val="24"/>
                <w:szCs w:val="24"/>
              </w:rPr>
              <w:t>总价</w:t>
            </w:r>
          </w:p>
        </w:tc>
        <w:tc>
          <w:tcPr>
            <w:tcW w:w="1676" w:type="dxa"/>
            <w:shd w:val="clear" w:color="auto" w:fill="D7D7D7" w:themeFill="background1" w:themeFillShade="D8"/>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b/>
                <w:sz w:val="24"/>
                <w:szCs w:val="24"/>
              </w:rPr>
            </w:pPr>
            <w:r>
              <w:rPr>
                <w:rFonts w:hint="eastAsia" w:ascii="仿宋" w:hAnsi="仿宋" w:eastAsia="仿宋" w:cs="仿宋"/>
                <w:b/>
                <w:sz w:val="24"/>
                <w:szCs w:val="24"/>
              </w:rPr>
              <w:t>含利润税金管理费总价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195" w:type="dxa"/>
            <w:vAlign w:val="center"/>
          </w:tcPr>
          <w:p>
            <w:pPr>
              <w:keepNext w:val="0"/>
              <w:keepLines w:val="0"/>
              <w:suppressLineNumbers w:val="0"/>
              <w:snapToGrid w:val="0"/>
              <w:spacing w:before="0" w:beforeAutospacing="0" w:after="0" w:afterAutospacing="0" w:line="240" w:lineRule="auto"/>
              <w:ind w:left="0" w:right="0"/>
              <w:jc w:val="left"/>
              <w:rPr>
                <w:rFonts w:hint="eastAsia" w:ascii="仿宋" w:hAnsi="仿宋" w:eastAsia="仿宋" w:cs="仿宋"/>
                <w:sz w:val="24"/>
                <w:szCs w:val="24"/>
              </w:rPr>
            </w:pPr>
            <w:r>
              <w:rPr>
                <w:rFonts w:hint="eastAsia" w:ascii="仿宋" w:hAnsi="仿宋" w:eastAsia="仿宋" w:cs="仿宋"/>
                <w:sz w:val="24"/>
                <w:szCs w:val="24"/>
              </w:rPr>
              <w:t>乔木</w:t>
            </w:r>
          </w:p>
        </w:tc>
        <w:tc>
          <w:tcPr>
            <w:tcW w:w="929" w:type="dxa"/>
            <w:vAlign w:val="center"/>
          </w:tcPr>
          <w:p>
            <w:pPr>
              <w:keepNext w:val="0"/>
              <w:keepLines w:val="0"/>
              <w:suppressLineNumbers w:val="0"/>
              <w:snapToGrid w:val="0"/>
              <w:spacing w:before="0" w:beforeAutospacing="0" w:after="0" w:afterAutospacing="0" w:line="240" w:lineRule="auto"/>
              <w:ind w:left="0" w:right="0"/>
              <w:jc w:val="right"/>
              <w:rPr>
                <w:rFonts w:hint="eastAsia" w:ascii="仿宋" w:hAnsi="仿宋" w:eastAsia="仿宋" w:cs="仿宋"/>
                <w:sz w:val="24"/>
                <w:szCs w:val="24"/>
              </w:rPr>
            </w:pPr>
            <w:r>
              <w:rPr>
                <w:rFonts w:hint="eastAsia" w:ascii="仿宋" w:hAnsi="仿宋" w:eastAsia="仿宋" w:cs="仿宋"/>
                <w:sz w:val="24"/>
                <w:szCs w:val="24"/>
              </w:rPr>
              <w:t>7.348</w:t>
            </w:r>
          </w:p>
        </w:tc>
        <w:tc>
          <w:tcPr>
            <w:tcW w:w="778" w:type="dxa"/>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9.264</w:t>
            </w:r>
          </w:p>
        </w:tc>
        <w:tc>
          <w:tcPr>
            <w:tcW w:w="778" w:type="dxa"/>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0.567</w:t>
            </w:r>
          </w:p>
        </w:tc>
        <w:tc>
          <w:tcPr>
            <w:tcW w:w="778" w:type="dxa"/>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0.379</w:t>
            </w:r>
          </w:p>
        </w:tc>
        <w:tc>
          <w:tcPr>
            <w:tcW w:w="1542" w:type="dxa"/>
            <w:vMerge w:val="restart"/>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1"/>
                <w:szCs w:val="21"/>
              </w:rPr>
              <w:t>9%*（水费+劳务费+肥料费+药剂费</w:t>
            </w:r>
            <w:r>
              <w:rPr>
                <w:rFonts w:hint="eastAsia" w:ascii="仿宋" w:hAnsi="仿宋" w:eastAsia="仿宋" w:cs="仿宋"/>
                <w:sz w:val="24"/>
                <w:szCs w:val="24"/>
              </w:rPr>
              <w:t>）</w:t>
            </w:r>
          </w:p>
        </w:tc>
        <w:tc>
          <w:tcPr>
            <w:tcW w:w="846" w:type="dxa"/>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19.140</w:t>
            </w:r>
          </w:p>
        </w:tc>
        <w:tc>
          <w:tcPr>
            <w:tcW w:w="1676" w:type="dxa"/>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23.060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95" w:type="dxa"/>
            <w:vAlign w:val="center"/>
          </w:tcPr>
          <w:p>
            <w:pPr>
              <w:keepNext w:val="0"/>
              <w:keepLines w:val="0"/>
              <w:suppressLineNumbers w:val="0"/>
              <w:snapToGrid w:val="0"/>
              <w:spacing w:before="0" w:beforeAutospacing="0" w:after="0" w:afterAutospacing="0" w:line="240" w:lineRule="auto"/>
              <w:ind w:left="0" w:right="0"/>
              <w:jc w:val="left"/>
              <w:rPr>
                <w:rFonts w:hint="eastAsia" w:ascii="仿宋" w:hAnsi="仿宋" w:eastAsia="仿宋" w:cs="仿宋"/>
                <w:sz w:val="24"/>
                <w:szCs w:val="24"/>
              </w:rPr>
            </w:pPr>
            <w:r>
              <w:rPr>
                <w:rFonts w:hint="eastAsia" w:ascii="仿宋" w:hAnsi="仿宋" w:eastAsia="仿宋" w:cs="仿宋"/>
                <w:sz w:val="24"/>
                <w:szCs w:val="24"/>
              </w:rPr>
              <w:t>单株灌木</w:t>
            </w:r>
          </w:p>
        </w:tc>
        <w:tc>
          <w:tcPr>
            <w:tcW w:w="929" w:type="dxa"/>
            <w:vAlign w:val="center"/>
          </w:tcPr>
          <w:p>
            <w:pPr>
              <w:keepNext w:val="0"/>
              <w:keepLines w:val="0"/>
              <w:suppressLineNumbers w:val="0"/>
              <w:snapToGrid w:val="0"/>
              <w:spacing w:before="0" w:beforeAutospacing="0" w:after="0" w:afterAutospacing="0" w:line="240" w:lineRule="auto"/>
              <w:ind w:left="0" w:right="0"/>
              <w:jc w:val="right"/>
              <w:rPr>
                <w:rFonts w:hint="eastAsia" w:ascii="仿宋" w:hAnsi="仿宋" w:eastAsia="仿宋" w:cs="仿宋"/>
                <w:sz w:val="24"/>
                <w:szCs w:val="24"/>
              </w:rPr>
            </w:pPr>
            <w:r>
              <w:rPr>
                <w:rFonts w:hint="eastAsia" w:ascii="仿宋" w:hAnsi="仿宋" w:eastAsia="仿宋" w:cs="仿宋"/>
                <w:sz w:val="24"/>
                <w:szCs w:val="24"/>
              </w:rPr>
              <w:t>1.153</w:t>
            </w:r>
          </w:p>
        </w:tc>
        <w:tc>
          <w:tcPr>
            <w:tcW w:w="778" w:type="dxa"/>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0.981</w:t>
            </w:r>
          </w:p>
        </w:tc>
        <w:tc>
          <w:tcPr>
            <w:tcW w:w="778" w:type="dxa"/>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0.059</w:t>
            </w:r>
          </w:p>
        </w:tc>
        <w:tc>
          <w:tcPr>
            <w:tcW w:w="778" w:type="dxa"/>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0.031</w:t>
            </w:r>
          </w:p>
        </w:tc>
        <w:tc>
          <w:tcPr>
            <w:tcW w:w="1542" w:type="dxa"/>
            <w:vMerge w:val="continue"/>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p>
        </w:tc>
        <w:tc>
          <w:tcPr>
            <w:tcW w:w="846" w:type="dxa"/>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2.425</w:t>
            </w:r>
          </w:p>
        </w:tc>
        <w:tc>
          <w:tcPr>
            <w:tcW w:w="1676" w:type="dxa"/>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2.922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195" w:type="dxa"/>
            <w:vAlign w:val="center"/>
          </w:tcPr>
          <w:p>
            <w:pPr>
              <w:keepNext w:val="0"/>
              <w:keepLines w:val="0"/>
              <w:suppressLineNumbers w:val="0"/>
              <w:snapToGrid w:val="0"/>
              <w:spacing w:before="0" w:beforeAutospacing="0" w:after="0" w:afterAutospacing="0" w:line="240" w:lineRule="auto"/>
              <w:ind w:left="0" w:right="0"/>
              <w:jc w:val="left"/>
              <w:rPr>
                <w:rFonts w:hint="eastAsia" w:ascii="仿宋" w:hAnsi="仿宋" w:eastAsia="仿宋" w:cs="仿宋"/>
                <w:sz w:val="24"/>
                <w:szCs w:val="24"/>
              </w:rPr>
            </w:pPr>
            <w:r>
              <w:rPr>
                <w:rFonts w:hint="eastAsia" w:ascii="仿宋" w:hAnsi="仿宋" w:eastAsia="仿宋" w:cs="仿宋"/>
                <w:sz w:val="24"/>
                <w:szCs w:val="24"/>
              </w:rPr>
              <w:t>片植灌木</w:t>
            </w:r>
          </w:p>
        </w:tc>
        <w:tc>
          <w:tcPr>
            <w:tcW w:w="929" w:type="dxa"/>
            <w:vAlign w:val="center"/>
          </w:tcPr>
          <w:p>
            <w:pPr>
              <w:keepNext w:val="0"/>
              <w:keepLines w:val="0"/>
              <w:suppressLineNumbers w:val="0"/>
              <w:snapToGrid w:val="0"/>
              <w:spacing w:before="0" w:beforeAutospacing="0" w:after="0" w:afterAutospacing="0" w:line="240" w:lineRule="auto"/>
              <w:ind w:left="0" w:right="0"/>
              <w:jc w:val="right"/>
              <w:rPr>
                <w:rFonts w:hint="eastAsia" w:ascii="仿宋" w:hAnsi="仿宋" w:eastAsia="仿宋" w:cs="仿宋"/>
                <w:sz w:val="24"/>
                <w:szCs w:val="24"/>
              </w:rPr>
            </w:pPr>
            <w:r>
              <w:rPr>
                <w:rFonts w:hint="eastAsia" w:ascii="仿宋" w:hAnsi="仿宋" w:eastAsia="仿宋" w:cs="仿宋"/>
                <w:sz w:val="24"/>
                <w:szCs w:val="24"/>
              </w:rPr>
              <w:t>5.498</w:t>
            </w:r>
          </w:p>
        </w:tc>
        <w:tc>
          <w:tcPr>
            <w:tcW w:w="778" w:type="dxa"/>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5.155</w:t>
            </w:r>
          </w:p>
        </w:tc>
        <w:tc>
          <w:tcPr>
            <w:tcW w:w="778" w:type="dxa"/>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0.197</w:t>
            </w:r>
          </w:p>
        </w:tc>
        <w:tc>
          <w:tcPr>
            <w:tcW w:w="778" w:type="dxa"/>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0.140</w:t>
            </w:r>
          </w:p>
        </w:tc>
        <w:tc>
          <w:tcPr>
            <w:tcW w:w="1542" w:type="dxa"/>
            <w:vMerge w:val="continue"/>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p>
        </w:tc>
        <w:tc>
          <w:tcPr>
            <w:tcW w:w="846" w:type="dxa"/>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11.982</w:t>
            </w:r>
          </w:p>
        </w:tc>
        <w:tc>
          <w:tcPr>
            <w:tcW w:w="1676" w:type="dxa"/>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14.436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95" w:type="dxa"/>
            <w:vAlign w:val="center"/>
          </w:tcPr>
          <w:p>
            <w:pPr>
              <w:keepNext w:val="0"/>
              <w:keepLines w:val="0"/>
              <w:suppressLineNumbers w:val="0"/>
              <w:snapToGrid w:val="0"/>
              <w:spacing w:before="0" w:beforeAutospacing="0" w:after="0" w:afterAutospacing="0" w:line="240" w:lineRule="auto"/>
              <w:ind w:left="0" w:right="0"/>
              <w:jc w:val="left"/>
              <w:rPr>
                <w:rFonts w:hint="eastAsia" w:ascii="仿宋" w:hAnsi="仿宋" w:eastAsia="仿宋" w:cs="仿宋"/>
                <w:sz w:val="24"/>
                <w:szCs w:val="24"/>
              </w:rPr>
            </w:pPr>
            <w:r>
              <w:rPr>
                <w:rFonts w:hint="eastAsia" w:ascii="仿宋" w:hAnsi="仿宋" w:eastAsia="仿宋" w:cs="仿宋"/>
                <w:sz w:val="24"/>
                <w:szCs w:val="24"/>
              </w:rPr>
              <w:t>草坪地被</w:t>
            </w:r>
          </w:p>
        </w:tc>
        <w:tc>
          <w:tcPr>
            <w:tcW w:w="929" w:type="dxa"/>
            <w:vAlign w:val="center"/>
          </w:tcPr>
          <w:p>
            <w:pPr>
              <w:keepNext w:val="0"/>
              <w:keepLines w:val="0"/>
              <w:suppressLineNumbers w:val="0"/>
              <w:snapToGrid w:val="0"/>
              <w:spacing w:before="0" w:beforeAutospacing="0" w:after="0" w:afterAutospacing="0" w:line="240" w:lineRule="auto"/>
              <w:ind w:left="0" w:right="0"/>
              <w:jc w:val="right"/>
              <w:rPr>
                <w:rFonts w:hint="eastAsia" w:ascii="仿宋" w:hAnsi="仿宋" w:eastAsia="仿宋" w:cs="仿宋"/>
                <w:sz w:val="24"/>
                <w:szCs w:val="24"/>
              </w:rPr>
            </w:pPr>
            <w:r>
              <w:rPr>
                <w:rFonts w:hint="eastAsia" w:ascii="仿宋" w:hAnsi="仿宋" w:eastAsia="仿宋" w:cs="仿宋"/>
                <w:sz w:val="24"/>
                <w:szCs w:val="24"/>
              </w:rPr>
              <w:t>1.535</w:t>
            </w:r>
          </w:p>
        </w:tc>
        <w:tc>
          <w:tcPr>
            <w:tcW w:w="778" w:type="dxa"/>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1.496</w:t>
            </w:r>
          </w:p>
        </w:tc>
        <w:tc>
          <w:tcPr>
            <w:tcW w:w="778" w:type="dxa"/>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0.225</w:t>
            </w:r>
          </w:p>
        </w:tc>
        <w:tc>
          <w:tcPr>
            <w:tcW w:w="778" w:type="dxa"/>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0.030</w:t>
            </w:r>
          </w:p>
        </w:tc>
        <w:tc>
          <w:tcPr>
            <w:tcW w:w="1542" w:type="dxa"/>
            <w:vMerge w:val="continue"/>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p>
        </w:tc>
        <w:tc>
          <w:tcPr>
            <w:tcW w:w="846" w:type="dxa"/>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3.584</w:t>
            </w:r>
          </w:p>
        </w:tc>
        <w:tc>
          <w:tcPr>
            <w:tcW w:w="1676" w:type="dxa"/>
            <w:vAlign w:val="center"/>
          </w:tcPr>
          <w:p>
            <w:pPr>
              <w:keepNext w:val="0"/>
              <w:keepLines w:val="0"/>
              <w:suppressLineNumbers w:val="0"/>
              <w:snapToGrid w:val="0"/>
              <w:spacing w:before="0" w:beforeAutospacing="0" w:after="0" w:afterAutospacing="0"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4.318</w:t>
            </w:r>
          </w:p>
        </w:tc>
      </w:tr>
    </w:tbl>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上述综合单价适用于园林中心自行实施部分，已包含水、人工、肥料、药剂及五金劳保消耗成本，不含利润、管理费及税金。</w:t>
      </w:r>
    </w:p>
    <w:p>
      <w:pPr>
        <w:widowControl w:val="0"/>
        <w:spacing w:line="500" w:lineRule="exact"/>
        <w:ind w:firstLine="640" w:firstLineChars="200"/>
        <w:jc w:val="both"/>
        <w:rPr>
          <w:rFonts w:hint="eastAsia" w:ascii="仿宋_GB2312" w:hAnsi="仿宋_GB2312" w:eastAsia="仿宋_GB2312" w:cs="仿宋_GB2312"/>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公开招标部分需在综合单价基础上增加利润、管理费及税金等，核定执行单价分别为：乔木23.06元/株、单株灌木2.922元/丛、片植灌木14.436元/</w:t>
      </w:r>
      <w:r>
        <w:rPr>
          <w:rFonts w:hint="eastAsia" w:ascii="Segoe UI Symbol" w:hAnsi="Segoe UI Symbol" w:eastAsia="Segoe UI Symbol" w:cs="Segoe UI Symbol"/>
          <w:kern w:val="0"/>
          <w:sz w:val="32"/>
          <w:szCs w:val="32"/>
          <w:lang w:val="zh-CN" w:eastAsia="zh-CN" w:bidi="ar-SA"/>
        </w:rPr>
        <w:t>㎡</w:t>
      </w:r>
      <w:r>
        <w:rPr>
          <w:rFonts w:hint="eastAsia" w:ascii="仿宋_GB2312" w:hAnsi="仿宋_GB2312" w:eastAsia="仿宋_GB2312" w:cs="仿宋_GB2312"/>
          <w:kern w:val="0"/>
          <w:sz w:val="32"/>
          <w:szCs w:val="32"/>
          <w:lang w:val="zh-CN" w:eastAsia="zh-CN" w:bidi="ar-SA"/>
        </w:rPr>
        <w:t>、草坪地被</w:t>
      </w:r>
      <w:r>
        <w:rPr>
          <w:rFonts w:hint="eastAsia" w:ascii="Times New Roman" w:hAnsi="Times New Roman" w:eastAsia="仿宋_GB2312" w:cs="Times New Roman"/>
          <w:kern w:val="0"/>
          <w:sz w:val="32"/>
          <w:szCs w:val="32"/>
          <w:lang w:val="zh-CN" w:eastAsia="zh-CN" w:bidi="ar-SA"/>
        </w:rPr>
        <w:t>4.318元/</w:t>
      </w:r>
      <w:r>
        <w:rPr>
          <w:rFonts w:hint="eastAsia" w:ascii="Segoe UI Symbol" w:hAnsi="Segoe UI Symbol" w:eastAsia="Segoe UI Symbol" w:cs="Segoe UI Symbol"/>
          <w:kern w:val="0"/>
          <w:sz w:val="32"/>
          <w:szCs w:val="32"/>
          <w:lang w:val="zh-CN" w:eastAsia="zh-CN" w:bidi="ar-SA"/>
        </w:rPr>
        <w:t>㎡</w:t>
      </w:r>
      <w:r>
        <w:rPr>
          <w:rFonts w:hint="eastAsia" w:ascii="仿宋_GB2312" w:hAnsi="仿宋_GB2312" w:eastAsia="仿宋_GB2312" w:cs="仿宋_GB2312"/>
          <w:kern w:val="0"/>
          <w:sz w:val="32"/>
          <w:szCs w:val="32"/>
          <w:lang w:val="zh-CN" w:eastAsia="zh-CN" w:bidi="ar-SA"/>
        </w:rPr>
        <w:t>。</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直接养护成本单价中已包含服务商合理的管理费用，管理费比例原则上不超过直接养护成本的5%。</w:t>
      </w:r>
    </w:p>
    <w:p>
      <w:pPr>
        <w:widowControl w:val="0"/>
        <w:spacing w:line="240" w:lineRule="auto"/>
        <w:ind w:firstLine="642" w:firstLineChars="200"/>
        <w:jc w:val="both"/>
        <w:rPr>
          <w:rFonts w:ascii="Times New Roman" w:hAnsi="Times New Roman" w:eastAsia="仿宋_GB2312" w:cs="Times New Roman"/>
          <w:b/>
          <w:bCs/>
          <w:kern w:val="0"/>
          <w:sz w:val="32"/>
          <w:szCs w:val="32"/>
          <w:lang w:val="en-US" w:eastAsia="zh-CN" w:bidi="ar-SA"/>
        </w:rPr>
      </w:pPr>
      <w:r>
        <w:rPr>
          <w:rFonts w:hint="eastAsia" w:ascii="Times New Roman" w:hAnsi="Times New Roman" w:eastAsia="仿宋_GB2312" w:cs="Times New Roman"/>
          <w:b/>
          <w:bCs/>
          <w:kern w:val="0"/>
          <w:sz w:val="32"/>
          <w:szCs w:val="32"/>
          <w:lang w:val="en-US" w:eastAsia="zh-CN" w:bidi="ar-SA"/>
        </w:rPr>
        <w:t>（2）专项费用标准</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签证工程预备费：按养护区域特点，建议每年预留公开招标区域50万元、园林中心自行实施区域10万元，用于应对临时性、突发性养护工程。</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公园专职保洁人员费：根据实际需要配置保洁人员，每年建议预留60万元。</w:t>
      </w:r>
    </w:p>
    <w:p>
      <w:pPr>
        <w:widowControl w:val="0"/>
        <w:numPr>
          <w:ilvl w:val="0"/>
          <w:numId w:val="4"/>
        </w:numPr>
        <w:adjustRightInd w:val="0"/>
        <w:spacing w:before="120" w:after="60" w:line="500" w:lineRule="exact"/>
        <w:ind w:left="0" w:firstLine="720" w:firstLineChars="200"/>
        <w:jc w:val="left"/>
        <w:outlineLvl w:val="0"/>
        <w:rPr>
          <w:rFonts w:ascii="Times New Roman" w:hAnsi="Times New Roman" w:eastAsia="黑体" w:cs="Times New Roman"/>
          <w:bCs/>
          <w:kern w:val="44"/>
          <w:sz w:val="36"/>
          <w:szCs w:val="48"/>
          <w:lang w:val="zh-CN" w:eastAsia="zh-CN" w:bidi="ar-SA"/>
        </w:rPr>
      </w:pPr>
      <w:r>
        <w:rPr>
          <w:rFonts w:ascii="Times New Roman" w:hAnsi="Times New Roman" w:eastAsia="黑体" w:cs="Times New Roman"/>
          <w:bCs/>
          <w:kern w:val="44"/>
          <w:sz w:val="36"/>
          <w:szCs w:val="48"/>
          <w:lang w:val="zh-CN" w:eastAsia="zh-CN" w:bidi="ar-SA"/>
        </w:rPr>
        <w:t>其他说明</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本标准作为预算编制与审核的上限依据。各单位在具体实施和采购过程中应坚持厉行节约，鼓励通过规范管理、技术创新等方式压减支出成本。</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本标准所列价格系依据报告期市场行情核定。如遇市场价格发生重大变动，可结合实际合理调整，并按相关规定履行报备程序。</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绿化养护工程量统计应以园林绿化主管部门核准的最新数据为准，具体涵盖各类植物的数量、面积及分布状况。</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项目单位应强化养护过程档案管理，建立健全养护日志与效果评估制度，切实保障养护质量与财政资金使用效益。</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如遇国家政策调整、市场价格发生重大变动（指相关价格指数较标准制定时基准值连续6个月累计变动超过10%或单月变动超过5%），由主管部门提出调整建议，经调研论证后报原批准机关审核同意，按程序修改后重新公布执行。</w:t>
      </w:r>
    </w:p>
    <w:p>
      <w:pPr>
        <w:widowControl w:val="0"/>
        <w:spacing w:line="500" w:lineRule="exact"/>
        <w:ind w:firstLine="640" w:firstLineChars="200"/>
        <w:jc w:val="both"/>
        <w:rPr>
          <w:rFonts w:hint="eastAsia"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本支出标准（试行）自印发之日起施行，有效期为</w:t>
      </w:r>
      <w:r>
        <w:rPr>
          <w:rFonts w:hint="eastAsia" w:ascii="仿宋_GB2312" w:hAnsi="仿宋_GB2312" w:eastAsia="仿宋_GB2312" w:cs="仿宋_GB2312"/>
          <w:kern w:val="0"/>
          <w:sz w:val="32"/>
          <w:szCs w:val="32"/>
          <w:lang w:val="zh-CN" w:eastAsia="zh-CN" w:bidi="ar-SA"/>
        </w:rPr>
        <w:t>两</w:t>
      </w:r>
      <w:r>
        <w:rPr>
          <w:rFonts w:hint="eastAsia" w:ascii="Times New Roman" w:hAnsi="Times New Roman" w:eastAsia="仿宋_GB2312" w:cs="Times New Roman"/>
          <w:kern w:val="0"/>
          <w:sz w:val="32"/>
          <w:szCs w:val="32"/>
          <w:lang w:val="zh-CN" w:eastAsia="zh-CN" w:bidi="ar-SA"/>
        </w:rPr>
        <w:t>年。</w:t>
      </w:r>
    </w:p>
    <w:p>
      <w:pPr>
        <w:rPr>
          <w:rFonts w:hint="eastAsia"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br w:type="page"/>
      </w:r>
    </w:p>
    <w:p>
      <w:pPr>
        <w:widowControl w:val="0"/>
        <w:spacing w:line="500" w:lineRule="exact"/>
        <w:jc w:val="both"/>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附件四</w:t>
      </w:r>
    </w:p>
    <w:p>
      <w:pPr>
        <w:widowControl w:val="0"/>
        <w:spacing w:before="120" w:after="60" w:line="500" w:lineRule="exact"/>
        <w:ind w:firstLine="800" w:firstLineChars="200"/>
        <w:jc w:val="center"/>
        <w:rPr>
          <w:rFonts w:hint="eastAsia" w:ascii="黑体" w:hAnsi="黑体" w:eastAsia="黑体" w:cs="Times New Roman"/>
          <w:kern w:val="0"/>
          <w:sz w:val="40"/>
          <w:szCs w:val="40"/>
          <w:lang w:val="zh-CN" w:eastAsia="zh-CN" w:bidi="ar"/>
        </w:rPr>
      </w:pPr>
    </w:p>
    <w:p>
      <w:pPr>
        <w:widowControl w:val="0"/>
        <w:spacing w:before="120" w:after="60" w:line="500" w:lineRule="exact"/>
        <w:jc w:val="center"/>
        <w:rPr>
          <w:rFonts w:hint="eastAsia" w:ascii="方正小标宋简体" w:hAnsi="方正小标宋简体" w:eastAsia="方正小标宋简体" w:cs="方正小标宋简体"/>
          <w:b w:val="0"/>
          <w:bCs/>
          <w:kern w:val="2"/>
          <w:sz w:val="44"/>
          <w:szCs w:val="44"/>
          <w:lang w:val="en-US" w:eastAsia="zh-CN" w:bidi="ar-SA"/>
        </w:rPr>
      </w:pPr>
      <w:r>
        <w:rPr>
          <w:rFonts w:hint="eastAsia" w:ascii="方正小标宋简体" w:hAnsi="方正小标宋简体" w:eastAsia="方正小标宋简体" w:cs="方正小标宋简体"/>
          <w:b w:val="0"/>
          <w:bCs/>
          <w:kern w:val="2"/>
          <w:sz w:val="44"/>
          <w:szCs w:val="44"/>
          <w:lang w:val="en-US" w:eastAsia="zh-CN" w:bidi="ar-SA"/>
        </w:rPr>
        <w:t>农村供水应急维修养护费通用支出标准（试行）</w:t>
      </w:r>
    </w:p>
    <w:p>
      <w:pPr>
        <w:widowControl w:val="0"/>
        <w:spacing w:before="120" w:after="60" w:line="500" w:lineRule="exact"/>
        <w:ind w:firstLine="800" w:firstLineChars="200"/>
        <w:jc w:val="center"/>
        <w:rPr>
          <w:rFonts w:hint="eastAsia" w:ascii="黑体" w:hAnsi="黑体" w:eastAsia="黑体" w:cs="Times New Roman"/>
          <w:kern w:val="0"/>
          <w:sz w:val="40"/>
          <w:szCs w:val="40"/>
          <w:lang w:val="zh-CN" w:eastAsia="zh-CN" w:bidi="ar-SA"/>
        </w:rPr>
      </w:pPr>
    </w:p>
    <w:p>
      <w:pPr>
        <w:widowControl w:val="0"/>
        <w:spacing w:line="500" w:lineRule="exact"/>
        <w:ind w:firstLine="640" w:firstLineChars="200"/>
        <w:jc w:val="both"/>
        <w:rPr>
          <w:rFonts w:hint="eastAsia" w:ascii="仿宋_GB2312" w:hAnsi="仿宋_GB2312" w:eastAsia="仿宋_GB2312" w:cs="仿宋_GB2312"/>
          <w:kern w:val="0"/>
          <w:sz w:val="32"/>
          <w:szCs w:val="32"/>
          <w:lang w:val="zh-CN" w:eastAsia="zh-CN" w:bidi="ar-SA"/>
        </w:rPr>
      </w:pPr>
      <w:r>
        <w:rPr>
          <w:rFonts w:hint="eastAsia" w:ascii="仿宋_GB2312" w:hAnsi="仿宋_GB2312" w:eastAsia="仿宋_GB2312" w:cs="仿宋_GB2312"/>
          <w:kern w:val="0"/>
          <w:sz w:val="32"/>
          <w:szCs w:val="32"/>
          <w:lang w:val="zh-CN" w:eastAsia="zh-CN" w:bidi="ar-SA"/>
        </w:rPr>
        <w:t>为落实《内蒙古自治区实施零基预算改革三年行动方案（2025—2027年）》《和林格尔县本级零基预算改革实施方案》要求，规范农村供水应急维修养护项目支出预算管理，根据</w:t>
      </w:r>
      <w:r>
        <w:rPr>
          <w:rFonts w:hint="eastAsia" w:ascii="仿宋_GB2312" w:hAnsi="仿宋_GB2312" w:eastAsia="仿宋_GB2312" w:cs="仿宋_GB2312"/>
          <w:kern w:val="0"/>
          <w:sz w:val="32"/>
          <w:szCs w:val="32"/>
          <w:lang w:val="en-US" w:eastAsia="zh-CN" w:bidi="ar-SA"/>
        </w:rPr>
        <w:t>《和林格尔县人民政府办公室关于印发和林格尔县农村供水县域统管实施方案的通知》（和政办发〔2025〕17号）等</w:t>
      </w:r>
      <w:r>
        <w:rPr>
          <w:rFonts w:hint="eastAsia" w:ascii="仿宋_GB2312" w:hAnsi="仿宋_GB2312" w:eastAsia="仿宋_GB2312" w:cs="仿宋_GB2312"/>
          <w:kern w:val="0"/>
          <w:sz w:val="32"/>
          <w:szCs w:val="32"/>
          <w:lang w:val="zh-CN" w:eastAsia="zh-CN" w:bidi="ar-SA"/>
        </w:rPr>
        <w:t>相关规定，</w:t>
      </w:r>
      <w:r>
        <w:rPr>
          <w:rFonts w:hint="eastAsia" w:ascii="仿宋_GB2312" w:hAnsi="仿宋_GB2312" w:eastAsia="仿宋_GB2312" w:cs="仿宋_GB2312"/>
          <w:kern w:val="0"/>
          <w:sz w:val="32"/>
          <w:szCs w:val="32"/>
          <w:lang w:val="en-US" w:eastAsia="zh-CN" w:bidi="ar-SA"/>
        </w:rPr>
        <w:t>以铸牢中华民族共同体意识为主线，结</w:t>
      </w:r>
      <w:r>
        <w:rPr>
          <w:rFonts w:hint="eastAsia" w:ascii="仿宋_GB2312" w:hAnsi="仿宋_GB2312" w:eastAsia="仿宋_GB2312" w:cs="仿宋_GB2312"/>
          <w:kern w:val="0"/>
          <w:sz w:val="32"/>
          <w:szCs w:val="32"/>
          <w:lang w:val="zh-CN" w:eastAsia="zh-CN" w:bidi="ar-SA"/>
        </w:rPr>
        <w:t>合</w:t>
      </w:r>
      <w:bookmarkStart w:id="0" w:name="_Hlk227224069"/>
      <w:r>
        <w:rPr>
          <w:rFonts w:hint="eastAsia" w:ascii="仿宋_GB2312" w:hAnsi="仿宋_GB2312" w:eastAsia="仿宋_GB2312" w:cs="仿宋_GB2312"/>
          <w:kern w:val="0"/>
          <w:sz w:val="32"/>
          <w:szCs w:val="32"/>
          <w:lang w:val="en-US" w:eastAsia="zh-CN" w:bidi="ar-SA"/>
        </w:rPr>
        <w:t>和林</w:t>
      </w:r>
      <w:r>
        <w:rPr>
          <w:rFonts w:hint="eastAsia" w:ascii="仿宋_GB2312" w:hAnsi="仿宋_GB2312" w:eastAsia="仿宋_GB2312" w:cs="仿宋_GB2312"/>
          <w:kern w:val="0"/>
          <w:sz w:val="32"/>
          <w:szCs w:val="32"/>
          <w:lang w:val="zh-CN" w:eastAsia="zh-CN" w:bidi="ar-SA"/>
        </w:rPr>
        <w:t>格尔县</w:t>
      </w:r>
      <w:r>
        <w:rPr>
          <w:rFonts w:hint="eastAsia" w:ascii="仿宋_GB2312" w:hAnsi="仿宋_GB2312" w:eastAsia="仿宋_GB2312" w:cs="仿宋_GB2312"/>
          <w:kern w:val="0"/>
          <w:sz w:val="32"/>
          <w:szCs w:val="32"/>
          <w:lang w:val="en-US" w:eastAsia="zh-CN" w:bidi="ar-SA"/>
        </w:rPr>
        <w:t>情况</w:t>
      </w:r>
      <w:r>
        <w:rPr>
          <w:rFonts w:hint="eastAsia" w:ascii="仿宋_GB2312" w:hAnsi="仿宋_GB2312" w:eastAsia="仿宋_GB2312" w:cs="仿宋_GB2312"/>
          <w:kern w:val="0"/>
          <w:sz w:val="32"/>
          <w:szCs w:val="32"/>
          <w:lang w:val="zh-CN" w:eastAsia="zh-CN" w:bidi="ar-SA"/>
        </w:rPr>
        <w:t>，制定</w:t>
      </w:r>
      <w:r>
        <w:rPr>
          <w:rFonts w:hint="eastAsia" w:ascii="仿宋_GB2312" w:hAnsi="仿宋_GB2312" w:eastAsia="仿宋_GB2312" w:cs="仿宋_GB2312"/>
          <w:kern w:val="0"/>
          <w:sz w:val="32"/>
          <w:szCs w:val="32"/>
          <w:lang w:val="en-US" w:eastAsia="zh-CN" w:bidi="ar-SA"/>
        </w:rPr>
        <w:t>本支出标准。</w:t>
      </w:r>
      <w:bookmarkEnd w:id="0"/>
    </w:p>
    <w:p>
      <w:pPr>
        <w:widowControl w:val="0"/>
        <w:numPr>
          <w:ilvl w:val="0"/>
          <w:numId w:val="5"/>
        </w:numPr>
        <w:adjustRightInd w:val="0"/>
        <w:spacing w:before="120" w:after="60" w:line="500" w:lineRule="exact"/>
        <w:ind w:left="0" w:firstLine="640" w:firstLineChars="200"/>
        <w:jc w:val="left"/>
        <w:outlineLvl w:val="0"/>
        <w:rPr>
          <w:rFonts w:ascii="Times New Roman" w:hAnsi="Times New Roman" w:eastAsia="黑体" w:cs="Times New Roman"/>
          <w:bCs/>
          <w:kern w:val="44"/>
          <w:sz w:val="32"/>
          <w:szCs w:val="32"/>
          <w:lang w:val="zh-CN" w:eastAsia="zh-CN" w:bidi="ar-SA"/>
        </w:rPr>
      </w:pPr>
      <w:r>
        <w:rPr>
          <w:rFonts w:ascii="Times New Roman" w:hAnsi="Times New Roman" w:eastAsia="黑体" w:cs="Times New Roman"/>
          <w:bCs/>
          <w:kern w:val="44"/>
          <w:sz w:val="32"/>
          <w:szCs w:val="32"/>
          <w:lang w:val="zh-CN" w:eastAsia="zh-CN" w:bidi="ar-SA"/>
        </w:rPr>
        <w:t>适用范围</w:t>
      </w:r>
    </w:p>
    <w:p>
      <w:pPr>
        <w:widowControl w:val="0"/>
        <w:spacing w:line="500" w:lineRule="exact"/>
        <w:ind w:firstLine="640" w:firstLineChars="200"/>
        <w:jc w:val="both"/>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本规定适用于县水务局、农村饮水安全服务中心、盛乐环境投资有限公司等主管部门项目预算支出。</w:t>
      </w:r>
    </w:p>
    <w:p>
      <w:pPr>
        <w:widowControl w:val="0"/>
        <w:numPr>
          <w:ilvl w:val="0"/>
          <w:numId w:val="5"/>
        </w:numPr>
        <w:adjustRightInd w:val="0"/>
        <w:spacing w:before="120" w:after="60" w:line="500" w:lineRule="exact"/>
        <w:ind w:left="0" w:firstLine="640" w:firstLineChars="200"/>
        <w:jc w:val="left"/>
        <w:outlineLvl w:val="0"/>
        <w:rPr>
          <w:rFonts w:ascii="Times New Roman" w:hAnsi="Times New Roman" w:eastAsia="黑体" w:cs="Times New Roman"/>
          <w:bCs/>
          <w:kern w:val="44"/>
          <w:sz w:val="32"/>
          <w:szCs w:val="32"/>
          <w:lang w:val="zh-CN" w:eastAsia="zh-CN" w:bidi="ar-SA"/>
        </w:rPr>
      </w:pPr>
      <w:r>
        <w:rPr>
          <w:rFonts w:hint="eastAsia" w:ascii="Times New Roman" w:hAnsi="Times New Roman" w:eastAsia="黑体" w:cs="Times New Roman"/>
          <w:bCs/>
          <w:kern w:val="44"/>
          <w:sz w:val="32"/>
          <w:szCs w:val="32"/>
          <w:lang w:val="en-US" w:eastAsia="zh-CN" w:bidi="ar-SA"/>
        </w:rPr>
        <w:t>编制</w:t>
      </w:r>
      <w:r>
        <w:rPr>
          <w:rFonts w:ascii="Times New Roman" w:hAnsi="Times New Roman" w:eastAsia="黑体" w:cs="Times New Roman"/>
          <w:bCs/>
          <w:kern w:val="44"/>
          <w:sz w:val="32"/>
          <w:szCs w:val="32"/>
          <w:lang w:val="zh-CN" w:eastAsia="zh-CN" w:bidi="ar-SA"/>
        </w:rPr>
        <w:t>依据</w:t>
      </w:r>
    </w:p>
    <w:p>
      <w:pPr>
        <w:widowControl w:val="0"/>
        <w:spacing w:line="500" w:lineRule="exact"/>
        <w:ind w:firstLine="640" w:firstLineChars="200"/>
        <w:jc w:val="both"/>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本标准参照《内蒙古自治区人民政府办公厅关于调整自治区最低工资标准的通知》（内政办发〔</w:t>
      </w:r>
      <w:r>
        <w:rPr>
          <w:rFonts w:hint="eastAsia" w:ascii="仿宋" w:hAnsi="仿宋" w:eastAsia="仿宋" w:cs="仿宋"/>
          <w:kern w:val="0"/>
          <w:sz w:val="32"/>
          <w:szCs w:val="32"/>
          <w:lang w:val="en-US" w:eastAsia="zh-CN" w:bidi="ar-SA"/>
        </w:rPr>
        <w:t>2025</w:t>
      </w:r>
      <w:r>
        <w:rPr>
          <w:rFonts w:hint="eastAsia" w:ascii="仿宋_GB2312" w:hAnsi="仿宋_GB2312" w:eastAsia="仿宋_GB2312" w:cs="仿宋_GB2312"/>
          <w:kern w:val="0"/>
          <w:sz w:val="32"/>
          <w:szCs w:val="32"/>
          <w:lang w:val="en-US" w:eastAsia="zh-CN" w:bidi="ar-SA"/>
        </w:rPr>
        <w:t>〕</w:t>
      </w:r>
      <w:r>
        <w:rPr>
          <w:rFonts w:hint="eastAsia" w:ascii="仿宋" w:hAnsi="仿宋" w:eastAsia="仿宋" w:cs="仿宋"/>
          <w:kern w:val="0"/>
          <w:sz w:val="32"/>
          <w:szCs w:val="32"/>
          <w:lang w:val="en-US" w:eastAsia="zh-CN" w:bidi="ar-SA"/>
        </w:rPr>
        <w:t>40</w:t>
      </w:r>
      <w:r>
        <w:rPr>
          <w:rFonts w:hint="eastAsia" w:ascii="仿宋_GB2312" w:hAnsi="仿宋_GB2312" w:eastAsia="仿宋_GB2312" w:cs="仿宋_GB2312"/>
          <w:kern w:val="0"/>
          <w:sz w:val="32"/>
          <w:szCs w:val="32"/>
          <w:lang w:val="en-US" w:eastAsia="zh-CN" w:bidi="ar-SA"/>
        </w:rPr>
        <w:t>号）《和林格尔县人民政府办公室关于印发和林格尔县农村供水县域统管实施方案的通知》（和政办发〔</w:t>
      </w:r>
      <w:r>
        <w:rPr>
          <w:rFonts w:hint="eastAsia" w:ascii="仿宋" w:hAnsi="仿宋" w:eastAsia="仿宋" w:cs="仿宋"/>
          <w:kern w:val="0"/>
          <w:sz w:val="32"/>
          <w:szCs w:val="32"/>
          <w:lang w:val="en-US" w:eastAsia="zh-CN" w:bidi="ar-SA"/>
        </w:rPr>
        <w:t>2025</w:t>
      </w:r>
      <w:r>
        <w:rPr>
          <w:rFonts w:hint="eastAsia" w:ascii="仿宋_GB2312" w:hAnsi="仿宋_GB2312" w:eastAsia="仿宋_GB2312" w:cs="仿宋_GB2312"/>
          <w:kern w:val="0"/>
          <w:sz w:val="32"/>
          <w:szCs w:val="32"/>
          <w:lang w:val="en-US" w:eastAsia="zh-CN" w:bidi="ar-SA"/>
        </w:rPr>
        <w:t>〕</w:t>
      </w:r>
      <w:r>
        <w:rPr>
          <w:rFonts w:hint="eastAsia" w:ascii="仿宋" w:hAnsi="仿宋" w:eastAsia="仿宋" w:cs="仿宋"/>
          <w:kern w:val="0"/>
          <w:sz w:val="32"/>
          <w:szCs w:val="32"/>
          <w:lang w:val="en-US" w:eastAsia="zh-CN" w:bidi="ar-SA"/>
        </w:rPr>
        <w:t>17</w:t>
      </w:r>
      <w:r>
        <w:rPr>
          <w:rFonts w:hint="eastAsia" w:ascii="仿宋_GB2312" w:hAnsi="仿宋_GB2312" w:eastAsia="仿宋_GB2312" w:cs="仿宋_GB2312"/>
          <w:kern w:val="0"/>
          <w:sz w:val="32"/>
          <w:szCs w:val="32"/>
          <w:lang w:val="en-US" w:eastAsia="zh-CN" w:bidi="ar-SA"/>
        </w:rPr>
        <w:t>号）等有关要求，结合农村供水应急维修养护费项目实施内容制定，是编制和审核农村供水应急维修养护费项目预算的基本依据。</w:t>
      </w:r>
    </w:p>
    <w:p>
      <w:pPr>
        <w:widowControl w:val="0"/>
        <w:numPr>
          <w:ilvl w:val="0"/>
          <w:numId w:val="5"/>
        </w:numPr>
        <w:adjustRightInd w:val="0"/>
        <w:spacing w:before="120" w:after="60" w:line="500" w:lineRule="exact"/>
        <w:ind w:left="0" w:firstLine="640" w:firstLineChars="200"/>
        <w:jc w:val="left"/>
        <w:outlineLvl w:val="0"/>
        <w:rPr>
          <w:rFonts w:ascii="Times New Roman" w:hAnsi="Times New Roman" w:eastAsia="黑体" w:cs="Times New Roman"/>
          <w:bCs/>
          <w:kern w:val="44"/>
          <w:sz w:val="32"/>
          <w:szCs w:val="32"/>
          <w:lang w:val="zh-CN" w:eastAsia="zh-CN" w:bidi="ar-SA"/>
        </w:rPr>
      </w:pPr>
      <w:r>
        <w:rPr>
          <w:rFonts w:ascii="Times New Roman" w:hAnsi="Times New Roman" w:eastAsia="黑体" w:cs="Times New Roman"/>
          <w:bCs/>
          <w:kern w:val="44"/>
          <w:sz w:val="32"/>
          <w:szCs w:val="32"/>
          <w:lang w:val="zh-CN" w:eastAsia="zh-CN" w:bidi="ar-SA"/>
        </w:rPr>
        <w:t>支出标准</w:t>
      </w:r>
    </w:p>
    <w:p>
      <w:pPr>
        <w:widowControl w:val="0"/>
        <w:spacing w:line="500" w:lineRule="exact"/>
        <w:ind w:firstLine="640" w:firstLineChars="200"/>
        <w:jc w:val="both"/>
        <w:rPr>
          <w:rFonts w:hint="eastAsia" w:ascii="仿宋_GB2312" w:hAnsi="仿宋_GB2312" w:eastAsia="仿宋_GB2312" w:cs="仿宋_GB2312"/>
          <w:kern w:val="0"/>
          <w:sz w:val="32"/>
          <w:szCs w:val="32"/>
          <w:lang w:val="zh-CN" w:eastAsia="zh-CN" w:bidi="ar-SA"/>
        </w:rPr>
      </w:pPr>
      <w:r>
        <w:rPr>
          <w:rFonts w:hint="eastAsia" w:ascii="仿宋_GB2312" w:hAnsi="仿宋_GB2312" w:eastAsia="仿宋_GB2312" w:cs="仿宋_GB2312"/>
          <w:kern w:val="0"/>
          <w:sz w:val="32"/>
          <w:szCs w:val="32"/>
          <w:lang w:val="en-US" w:eastAsia="zh-CN" w:bidi="ar-SA"/>
        </w:rPr>
        <w:t>根据相关政策要求结合市场行情形成的和林县农村供水应急维修养护费通用支出标准调研报告，农村供水应急维修养护费支出定额值具体详见下表。</w:t>
      </w:r>
    </w:p>
    <w:p>
      <w:pPr>
        <w:ind w:firstLine="562" w:firstLineChars="20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28"/>
          <w:szCs w:val="28"/>
        </w:rPr>
        <w:t>农村供水应急维修养护费支出标准建议表</w:t>
      </w:r>
    </w:p>
    <w:tbl>
      <w:tblPr>
        <w:tblStyle w:val="19"/>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9"/>
        <w:gridCol w:w="1656"/>
        <w:gridCol w:w="3482"/>
        <w:gridCol w:w="2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839" w:type="pct"/>
            <w:shd w:val="clear" w:color="auto" w:fill="D7D7D7" w:themeFill="background1" w:themeFillShade="D8"/>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序号</w:t>
            </w:r>
          </w:p>
        </w:tc>
        <w:tc>
          <w:tcPr>
            <w:tcW w:w="914" w:type="pct"/>
            <w:shd w:val="clear" w:color="auto" w:fill="D7D7D7" w:themeFill="background1" w:themeFillShade="D8"/>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类别</w:t>
            </w:r>
          </w:p>
        </w:tc>
        <w:tc>
          <w:tcPr>
            <w:tcW w:w="1922" w:type="pct"/>
            <w:shd w:val="clear" w:color="auto" w:fill="D7D7D7" w:themeFill="background1" w:themeFillShade="D8"/>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项目名称</w:t>
            </w:r>
          </w:p>
        </w:tc>
        <w:tc>
          <w:tcPr>
            <w:tcW w:w="1324" w:type="pct"/>
            <w:shd w:val="clear" w:color="auto" w:fill="D7D7D7" w:themeFill="background1" w:themeFillShade="D8"/>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支出标准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29" w:type="dxa"/>
            <w:vMerge w:val="restart"/>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557" w:type="dxa"/>
            <w:vMerge w:val="restart"/>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人员支出</w:t>
            </w:r>
          </w:p>
        </w:tc>
        <w:tc>
          <w:tcPr>
            <w:tcW w:w="3275"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专职维修人员</w:t>
            </w:r>
          </w:p>
        </w:tc>
        <w:tc>
          <w:tcPr>
            <w:tcW w:w="2256"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2250元/月/人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29" w:type="dxa"/>
            <w:vMerge w:val="continue"/>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1557" w:type="dxa"/>
            <w:vMerge w:val="continue"/>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3275"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专职仓库管理员</w:t>
            </w:r>
          </w:p>
        </w:tc>
        <w:tc>
          <w:tcPr>
            <w:tcW w:w="2256"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2250元/人/月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29" w:type="dxa"/>
            <w:vMerge w:val="continue"/>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1557" w:type="dxa"/>
            <w:vMerge w:val="continue"/>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3275"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临时维修人员</w:t>
            </w:r>
          </w:p>
        </w:tc>
        <w:tc>
          <w:tcPr>
            <w:tcW w:w="2256"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178元/天/人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29" w:type="dxa"/>
            <w:vMerge w:val="continue"/>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1557" w:type="dxa"/>
            <w:vMerge w:val="continue"/>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3275"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焊工</w:t>
            </w:r>
          </w:p>
        </w:tc>
        <w:tc>
          <w:tcPr>
            <w:tcW w:w="2256"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300元/人/天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29" w:type="dxa"/>
            <w:vMerge w:val="continue"/>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1557" w:type="dxa"/>
            <w:vMerge w:val="continue"/>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3275"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维修材料运输人员工资</w:t>
            </w:r>
          </w:p>
        </w:tc>
        <w:tc>
          <w:tcPr>
            <w:tcW w:w="2256"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437.5元/趟/人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blHeader/>
        </w:trPr>
        <w:tc>
          <w:tcPr>
            <w:tcW w:w="1429"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557"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机械租赁费</w:t>
            </w:r>
          </w:p>
        </w:tc>
        <w:tc>
          <w:tcPr>
            <w:tcW w:w="3275"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挖机租赁</w:t>
            </w:r>
          </w:p>
        </w:tc>
        <w:tc>
          <w:tcPr>
            <w:tcW w:w="2256"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1600-2000元/人/天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29" w:type="dxa"/>
            <w:vMerge w:val="restart"/>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1557" w:type="dxa"/>
            <w:vMerge w:val="restart"/>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固定资产类</w:t>
            </w:r>
          </w:p>
        </w:tc>
        <w:tc>
          <w:tcPr>
            <w:tcW w:w="3275"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深井泵</w:t>
            </w:r>
          </w:p>
        </w:tc>
        <w:tc>
          <w:tcPr>
            <w:tcW w:w="2256"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0.2-1.2万元/台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29" w:type="dxa"/>
            <w:vMerge w:val="continue"/>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1557" w:type="dxa"/>
            <w:vMerge w:val="continue"/>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3275"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深井泵</w:t>
            </w:r>
          </w:p>
        </w:tc>
        <w:tc>
          <w:tcPr>
            <w:tcW w:w="2256"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1.1-4.5万元/套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29" w:type="dxa"/>
            <w:vMerge w:val="continue"/>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1557" w:type="dxa"/>
            <w:vMerge w:val="continue"/>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3275"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潜水泵</w:t>
            </w:r>
          </w:p>
        </w:tc>
        <w:tc>
          <w:tcPr>
            <w:tcW w:w="2256"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0.1-0.8万元/台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29" w:type="dxa"/>
            <w:vMerge w:val="continue"/>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1557" w:type="dxa"/>
            <w:vMerge w:val="continue"/>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3275"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潜水泵</w:t>
            </w:r>
          </w:p>
        </w:tc>
        <w:tc>
          <w:tcPr>
            <w:tcW w:w="2256"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0.4-1.9万元/套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29" w:type="dxa"/>
            <w:vMerge w:val="continue"/>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1557" w:type="dxa"/>
            <w:vMerge w:val="continue"/>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3275" w:type="dxa"/>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降压启动柜</w:t>
            </w:r>
          </w:p>
        </w:tc>
        <w:tc>
          <w:tcPr>
            <w:tcW w:w="2256"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0.12-0.22万元/台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29" w:type="dxa"/>
            <w:vMerge w:val="restart"/>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1557" w:type="dxa"/>
            <w:vMerge w:val="restart"/>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车辆费用支出</w:t>
            </w:r>
          </w:p>
        </w:tc>
        <w:tc>
          <w:tcPr>
            <w:tcW w:w="3275" w:type="dxa"/>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车辆保险费</w:t>
            </w:r>
          </w:p>
        </w:tc>
        <w:tc>
          <w:tcPr>
            <w:tcW w:w="2256"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0.47万元/辆/年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29" w:type="dxa"/>
            <w:vMerge w:val="continue"/>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1557" w:type="dxa"/>
            <w:vMerge w:val="continue"/>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3275" w:type="dxa"/>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车辆维修费</w:t>
            </w:r>
          </w:p>
        </w:tc>
        <w:tc>
          <w:tcPr>
            <w:tcW w:w="2256"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0.85万元/辆/年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29" w:type="dxa"/>
            <w:vMerge w:val="continue"/>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1557" w:type="dxa"/>
            <w:vMerge w:val="continue"/>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3275" w:type="dxa"/>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车辆燃油费</w:t>
            </w:r>
          </w:p>
        </w:tc>
        <w:tc>
          <w:tcPr>
            <w:tcW w:w="2256"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1万元/辆/年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29" w:type="dxa"/>
            <w:vMerge w:val="continue"/>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1557" w:type="dxa"/>
            <w:vMerge w:val="continue"/>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p>
        </w:tc>
        <w:tc>
          <w:tcPr>
            <w:tcW w:w="3275" w:type="dxa"/>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车辆检测费</w:t>
            </w:r>
          </w:p>
        </w:tc>
        <w:tc>
          <w:tcPr>
            <w:tcW w:w="2256"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0.05万元/辆/年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29" w:type="dxa"/>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1557" w:type="dxa"/>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易耗材</w:t>
            </w:r>
          </w:p>
        </w:tc>
        <w:tc>
          <w:tcPr>
            <w:tcW w:w="3275" w:type="dxa"/>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水管</w:t>
            </w:r>
          </w:p>
        </w:tc>
        <w:tc>
          <w:tcPr>
            <w:tcW w:w="2256" w:type="dxa"/>
            <w:vAlign w:val="center"/>
          </w:tcPr>
          <w:p>
            <w:pPr>
              <w:keepNext w:val="0"/>
              <w:keepLines w:val="0"/>
              <w:suppressLineNumbers w:val="0"/>
              <w:spacing w:before="0" w:beforeAutospacing="0" w:after="0" w:afterAutospacing="0" w:line="24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15元/米</w:t>
            </w:r>
          </w:p>
        </w:tc>
      </w:tr>
    </w:tbl>
    <w:p>
      <w:pPr>
        <w:widowControl w:val="0"/>
        <w:numPr>
          <w:ilvl w:val="0"/>
          <w:numId w:val="5"/>
        </w:numPr>
        <w:adjustRightInd w:val="0"/>
        <w:spacing w:before="120" w:after="60" w:line="500" w:lineRule="exact"/>
        <w:ind w:left="0" w:firstLine="640" w:firstLineChars="200"/>
        <w:jc w:val="left"/>
        <w:outlineLvl w:val="0"/>
        <w:rPr>
          <w:rFonts w:ascii="Times New Roman" w:hAnsi="Times New Roman" w:eastAsia="黑体" w:cs="Times New Roman"/>
          <w:bCs/>
          <w:kern w:val="44"/>
          <w:sz w:val="32"/>
          <w:szCs w:val="44"/>
          <w:lang w:val="zh-CN" w:eastAsia="zh-CN" w:bidi="ar-SA"/>
        </w:rPr>
      </w:pPr>
      <w:r>
        <w:rPr>
          <w:rFonts w:ascii="Times New Roman" w:hAnsi="Times New Roman" w:eastAsia="黑体" w:cs="Times New Roman"/>
          <w:bCs/>
          <w:kern w:val="44"/>
          <w:sz w:val="32"/>
          <w:szCs w:val="44"/>
          <w:lang w:val="zh-CN" w:eastAsia="zh-CN" w:bidi="ar-SA"/>
        </w:rPr>
        <w:t>其他说明</w:t>
      </w:r>
    </w:p>
    <w:p>
      <w:pPr>
        <w:widowControl w:val="0"/>
        <w:spacing w:line="500" w:lineRule="exact"/>
        <w:ind w:firstLine="640" w:firstLineChars="200"/>
        <w:jc w:val="both"/>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若因市场价格突发异常波动导致实际价格超出控制标准，应履行集体决策程序，并报市财政局备案后执行。</w:t>
      </w:r>
    </w:p>
    <w:p>
      <w:pPr>
        <w:widowControl w:val="0"/>
        <w:spacing w:line="500" w:lineRule="exact"/>
        <w:ind w:firstLine="640" w:firstLineChars="200"/>
        <w:jc w:val="both"/>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本支出标准（试行）自印发之日起施行，有效期为两年。</w:t>
      </w:r>
    </w:p>
    <w:p>
      <w:pPr>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br w:type="page"/>
      </w:r>
    </w:p>
    <w:p>
      <w:pPr>
        <w:widowControl w:val="0"/>
        <w:spacing w:line="500" w:lineRule="exact"/>
        <w:jc w:val="both"/>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附件五</w:t>
      </w:r>
    </w:p>
    <w:p>
      <w:pPr>
        <w:widowControl w:val="0"/>
        <w:spacing w:before="120" w:after="60" w:line="500" w:lineRule="exact"/>
        <w:ind w:firstLine="800" w:firstLineChars="200"/>
        <w:jc w:val="center"/>
        <w:rPr>
          <w:rFonts w:hint="eastAsia" w:ascii="黑体" w:hAnsi="黑体" w:eastAsia="黑体" w:cs="Times New Roman"/>
          <w:kern w:val="0"/>
          <w:sz w:val="40"/>
          <w:szCs w:val="40"/>
          <w:lang w:val="zh-CN" w:eastAsia="zh-CN" w:bidi="ar"/>
        </w:rPr>
      </w:pPr>
    </w:p>
    <w:p>
      <w:pPr>
        <w:widowControl w:val="0"/>
        <w:spacing w:before="120" w:after="60" w:line="500" w:lineRule="exact"/>
        <w:ind w:firstLine="880" w:firstLineChars="200"/>
        <w:jc w:val="center"/>
        <w:rPr>
          <w:rFonts w:hint="eastAsia" w:ascii="方正小标宋简体" w:hAnsi="方正小标宋简体" w:eastAsia="方正小标宋简体" w:cs="方正小标宋简体"/>
          <w:b w:val="0"/>
          <w:bCs/>
          <w:kern w:val="2"/>
          <w:sz w:val="44"/>
          <w:szCs w:val="44"/>
          <w:lang w:val="en-US" w:eastAsia="zh-CN" w:bidi="ar-SA"/>
        </w:rPr>
      </w:pPr>
      <w:r>
        <w:rPr>
          <w:rFonts w:hint="eastAsia" w:ascii="方正小标宋简体" w:hAnsi="方正小标宋简体" w:eastAsia="方正小标宋简体" w:cs="方正小标宋简体"/>
          <w:b w:val="0"/>
          <w:bCs/>
          <w:kern w:val="2"/>
          <w:sz w:val="44"/>
          <w:szCs w:val="44"/>
          <w:lang w:val="en-US" w:eastAsia="zh-CN" w:bidi="ar-SA"/>
        </w:rPr>
        <w:t>物业管理项目支出标准（试行）</w:t>
      </w:r>
    </w:p>
    <w:p>
      <w:pPr>
        <w:widowControl w:val="0"/>
        <w:spacing w:before="120" w:after="60" w:line="500" w:lineRule="exact"/>
        <w:ind w:firstLine="800" w:firstLineChars="200"/>
        <w:jc w:val="center"/>
        <w:rPr>
          <w:rFonts w:hint="eastAsia" w:ascii="黑体" w:hAnsi="黑体" w:eastAsia="黑体" w:cs="Times New Roman"/>
          <w:kern w:val="0"/>
          <w:sz w:val="40"/>
          <w:szCs w:val="40"/>
          <w:lang w:val="en-US" w:eastAsia="zh-CN" w:bidi="ar-SA"/>
        </w:rPr>
      </w:pPr>
    </w:p>
    <w:p>
      <w:pPr>
        <w:widowControl w:val="0"/>
        <w:spacing w:line="500" w:lineRule="exact"/>
        <w:ind w:firstLine="640" w:firstLineChars="200"/>
        <w:jc w:val="both"/>
        <w:rPr>
          <w:rFonts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zh-CN" w:eastAsia="zh-CN" w:bidi="ar"/>
        </w:rPr>
        <w:t>为落实《内蒙古自治区实施零基预算改革三年行动方案（2025—2027年）》《和林格尔县本级零基预算改革实施方案》要求，规范和林格尔县机关单位物业管理项目支出预算管理，根据</w:t>
      </w:r>
      <w:r>
        <w:rPr>
          <w:rFonts w:hint="eastAsia" w:ascii="Times New Roman" w:hAnsi="Times New Roman" w:eastAsia="仿宋_GB2312" w:cs="Times New Roman"/>
          <w:kern w:val="0"/>
          <w:sz w:val="32"/>
          <w:szCs w:val="32"/>
          <w:lang w:val="zh-CN" w:eastAsia="zh-CN" w:bidi="ar-SA"/>
        </w:rPr>
        <w:t>《</w:t>
      </w:r>
      <w:r>
        <w:rPr>
          <w:rFonts w:hint="eastAsia" w:ascii="Times New Roman" w:hAnsi="Times New Roman" w:eastAsia="仿宋_GB2312" w:cs="Times New Roman"/>
          <w:kern w:val="0"/>
          <w:sz w:val="32"/>
          <w:szCs w:val="32"/>
          <w:lang w:val="en-US" w:eastAsia="zh-CN" w:bidi="ar-SA"/>
        </w:rPr>
        <w:t>内蒙古自治区机关事务管理局关于集中办公区物业服务定额参考标准的通知</w:t>
      </w:r>
      <w:r>
        <w:rPr>
          <w:rFonts w:hint="eastAsia" w:ascii="Times New Roman" w:hAnsi="Times New Roman" w:eastAsia="仿宋_GB2312" w:cs="Times New Roman"/>
          <w:kern w:val="0"/>
          <w:sz w:val="32"/>
          <w:szCs w:val="32"/>
          <w:lang w:val="zh-CN" w:eastAsia="zh-CN" w:bidi="ar-SA"/>
        </w:rPr>
        <w:t>》</w:t>
      </w:r>
      <w:r>
        <w:rPr>
          <w:rFonts w:hint="eastAsia" w:ascii="Times New Roman" w:hAnsi="Times New Roman" w:eastAsia="仿宋_GB2312" w:cs="Times New Roman"/>
          <w:kern w:val="0"/>
          <w:sz w:val="32"/>
          <w:szCs w:val="32"/>
          <w:lang w:val="en-US" w:eastAsia="zh-CN" w:bidi="ar-SA"/>
        </w:rPr>
        <w:t>（内管法字〔2023〕617号）等</w:t>
      </w:r>
      <w:r>
        <w:rPr>
          <w:rFonts w:hint="eastAsia" w:ascii="Times New Roman" w:hAnsi="Times New Roman" w:eastAsia="仿宋_GB2312" w:cs="Times New Roman"/>
          <w:kern w:val="0"/>
          <w:sz w:val="32"/>
          <w:szCs w:val="32"/>
          <w:lang w:val="zh-CN" w:eastAsia="zh-CN" w:bidi="ar-SA"/>
        </w:rPr>
        <w:t>相关规定</w:t>
      </w:r>
      <w:r>
        <w:rPr>
          <w:rFonts w:hint="eastAsia" w:ascii="Times New Roman" w:hAnsi="Times New Roman" w:eastAsia="仿宋_GB2312" w:cs="Times New Roman"/>
          <w:kern w:val="0"/>
          <w:sz w:val="32"/>
          <w:szCs w:val="32"/>
          <w:lang w:val="zh-CN" w:eastAsia="zh-CN" w:bidi="ar"/>
        </w:rPr>
        <w:t>，以铸牢中华民族共同体意识为主线，结合</w:t>
      </w:r>
      <w:r>
        <w:rPr>
          <w:rFonts w:hint="eastAsia" w:ascii="Times New Roman" w:hAnsi="Times New Roman" w:eastAsia="仿宋_GB2312" w:cs="Times New Roman"/>
          <w:kern w:val="0"/>
          <w:sz w:val="32"/>
          <w:szCs w:val="32"/>
          <w:lang w:val="en-US" w:eastAsia="zh-CN" w:bidi="ar-SA"/>
        </w:rPr>
        <w:t>和林</w:t>
      </w:r>
      <w:r>
        <w:rPr>
          <w:rFonts w:hint="eastAsia" w:ascii="Times New Roman" w:hAnsi="Times New Roman" w:eastAsia="仿宋_GB2312" w:cs="Times New Roman"/>
          <w:kern w:val="0"/>
          <w:sz w:val="32"/>
          <w:szCs w:val="32"/>
          <w:lang w:val="zh-CN" w:eastAsia="zh-CN" w:bidi="ar"/>
        </w:rPr>
        <w:t>格尔</w:t>
      </w:r>
      <w:r>
        <w:rPr>
          <w:rFonts w:hint="eastAsia" w:ascii="Times New Roman" w:hAnsi="Times New Roman" w:eastAsia="仿宋_GB2312" w:cs="Times New Roman"/>
          <w:kern w:val="0"/>
          <w:sz w:val="32"/>
          <w:szCs w:val="32"/>
          <w:lang w:val="zh-CN" w:eastAsia="zh-CN" w:bidi="ar-SA"/>
        </w:rPr>
        <w:t>县</w:t>
      </w:r>
      <w:r>
        <w:rPr>
          <w:rFonts w:hint="eastAsia" w:ascii="Times New Roman" w:hAnsi="Times New Roman" w:eastAsia="仿宋_GB2312" w:cs="Times New Roman"/>
          <w:kern w:val="0"/>
          <w:sz w:val="32"/>
          <w:szCs w:val="32"/>
          <w:lang w:val="en-US" w:eastAsia="zh-CN" w:bidi="ar-SA"/>
        </w:rPr>
        <w:t>情况</w:t>
      </w:r>
      <w:r>
        <w:rPr>
          <w:rFonts w:hint="eastAsia" w:ascii="Times New Roman" w:hAnsi="Times New Roman" w:eastAsia="仿宋_GB2312" w:cs="Times New Roman"/>
          <w:kern w:val="0"/>
          <w:sz w:val="32"/>
          <w:szCs w:val="32"/>
          <w:lang w:val="zh-CN" w:eastAsia="zh-CN" w:bidi="ar-SA"/>
        </w:rPr>
        <w:t>，制定本支出标准</w:t>
      </w:r>
      <w:r>
        <w:rPr>
          <w:rFonts w:hint="eastAsia" w:ascii="Times New Roman" w:hAnsi="Times New Roman" w:eastAsia="仿宋_GB2312" w:cs="Times New Roman"/>
          <w:kern w:val="0"/>
          <w:sz w:val="32"/>
          <w:szCs w:val="32"/>
          <w:lang w:val="zh-CN" w:eastAsia="zh-CN" w:bidi="ar"/>
        </w:rPr>
        <w:t>。</w:t>
      </w:r>
    </w:p>
    <w:p>
      <w:pPr>
        <w:widowControl w:val="0"/>
        <w:numPr>
          <w:ilvl w:val="0"/>
          <w:numId w:val="0"/>
        </w:numPr>
        <w:adjustRightInd w:val="0"/>
        <w:spacing w:before="120" w:after="60" w:line="500" w:lineRule="exact"/>
        <w:ind w:firstLine="720" w:firstLineChars="200"/>
        <w:jc w:val="left"/>
        <w:outlineLvl w:val="0"/>
        <w:rPr>
          <w:rFonts w:ascii="Times New Roman" w:hAnsi="Times New Roman" w:eastAsia="黑体" w:cs="Times New Roman"/>
          <w:bCs/>
          <w:kern w:val="44"/>
          <w:sz w:val="36"/>
          <w:szCs w:val="48"/>
          <w:lang w:val="zh-CN" w:eastAsia="zh-CN" w:bidi="ar-SA"/>
        </w:rPr>
      </w:pPr>
      <w:r>
        <w:rPr>
          <w:rFonts w:hint="eastAsia" w:ascii="Times New Roman" w:hAnsi="Times New Roman" w:eastAsia="黑体" w:cs="Times New Roman"/>
          <w:bCs/>
          <w:kern w:val="44"/>
          <w:sz w:val="36"/>
          <w:szCs w:val="48"/>
          <w:lang w:val="en-US" w:eastAsia="zh-CN" w:bidi="ar-SA"/>
        </w:rPr>
        <w:t>一、</w:t>
      </w:r>
      <w:r>
        <w:rPr>
          <w:rFonts w:ascii="Times New Roman" w:hAnsi="Times New Roman" w:eastAsia="黑体" w:cs="Times New Roman"/>
          <w:bCs/>
          <w:kern w:val="44"/>
          <w:sz w:val="36"/>
          <w:szCs w:val="48"/>
          <w:lang w:val="zh-CN" w:eastAsia="zh-CN" w:bidi="ar-SA"/>
        </w:rPr>
        <w:t>适用范围</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ascii="Times New Roman" w:hAnsi="Times New Roman" w:eastAsia="仿宋_GB2312" w:cs="Times New Roman"/>
          <w:kern w:val="0"/>
          <w:sz w:val="32"/>
          <w:szCs w:val="32"/>
          <w:lang w:val="zh-CN" w:eastAsia="zh-CN" w:bidi="ar-SA"/>
        </w:rPr>
        <w:t>本标准适用于</w:t>
      </w:r>
      <w:r>
        <w:rPr>
          <w:rFonts w:hint="eastAsia" w:ascii="Times New Roman" w:hAnsi="Times New Roman" w:eastAsia="仿宋_GB2312" w:cs="Times New Roman"/>
          <w:kern w:val="0"/>
          <w:sz w:val="32"/>
          <w:szCs w:val="32"/>
          <w:lang w:val="zh-CN" w:eastAsia="zh-CN" w:bidi="ar-SA"/>
        </w:rPr>
        <w:t>和林格尔县</w:t>
      </w:r>
      <w:r>
        <w:rPr>
          <w:rFonts w:ascii="Times New Roman" w:hAnsi="Times New Roman" w:eastAsia="仿宋_GB2312" w:cs="Times New Roman"/>
          <w:kern w:val="0"/>
          <w:sz w:val="32"/>
          <w:szCs w:val="32"/>
          <w:lang w:val="zh-CN" w:eastAsia="zh-CN" w:bidi="ar-SA"/>
        </w:rPr>
        <w:t>直属事业单位机关</w:t>
      </w:r>
      <w:r>
        <w:rPr>
          <w:rFonts w:hint="eastAsia" w:ascii="Times New Roman" w:hAnsi="Times New Roman" w:eastAsia="仿宋_GB2312" w:cs="Times New Roman"/>
          <w:kern w:val="0"/>
          <w:sz w:val="32"/>
          <w:szCs w:val="32"/>
          <w:lang w:val="zh-CN" w:eastAsia="zh-CN" w:bidi="ar-SA"/>
        </w:rPr>
        <w:t>（以下简称“机关单位”）</w:t>
      </w:r>
      <w:r>
        <w:rPr>
          <w:rFonts w:ascii="Times New Roman" w:hAnsi="Times New Roman" w:eastAsia="仿宋_GB2312" w:cs="Times New Roman"/>
          <w:kern w:val="0"/>
          <w:sz w:val="32"/>
          <w:szCs w:val="32"/>
          <w:lang w:val="zh-CN" w:eastAsia="zh-CN" w:bidi="ar-SA"/>
        </w:rPr>
        <w:t>编报物业管理项目预算支出。物业管理以保障单位正常</w:t>
      </w:r>
      <w:r>
        <w:rPr>
          <w:rFonts w:ascii="Times New Roman" w:hAnsi="Times New Roman" w:eastAsia="仿宋_GB2312" w:cs="Times New Roman"/>
          <w:kern w:val="0"/>
          <w:sz w:val="32"/>
          <w:szCs w:val="32"/>
          <w:lang w:val="zh-CN" w:eastAsia="zh-CN" w:bidi="ar"/>
        </w:rPr>
        <w:t>运转</w:t>
      </w:r>
      <w:r>
        <w:rPr>
          <w:rFonts w:ascii="Times New Roman" w:hAnsi="Times New Roman" w:eastAsia="仿宋_GB2312" w:cs="Times New Roman"/>
          <w:kern w:val="0"/>
          <w:sz w:val="32"/>
          <w:szCs w:val="32"/>
          <w:lang w:val="zh-CN" w:eastAsia="zh-CN" w:bidi="ar-SA"/>
        </w:rPr>
        <w:t>，通过基本履行职能的基本服务为目的，需向社会力量购买物业管理服务，应遵守政府采购相关法律法规。本标准界定的物业管理服务仅包括对物业管理企业受物业所有人委托，依据物业管理委托合同，</w:t>
      </w:r>
      <w:r>
        <w:rPr>
          <w:rFonts w:hint="eastAsia" w:ascii="Times New Roman" w:hAnsi="Times New Roman" w:eastAsia="仿宋_GB2312" w:cs="Times New Roman"/>
          <w:kern w:val="0"/>
          <w:sz w:val="32"/>
          <w:szCs w:val="32"/>
          <w:lang w:val="zh-CN" w:eastAsia="zh-CN" w:bidi="ar-SA"/>
        </w:rPr>
        <w:t>在</w:t>
      </w:r>
      <w:r>
        <w:rPr>
          <w:rFonts w:ascii="Times New Roman" w:hAnsi="Times New Roman" w:eastAsia="仿宋_GB2312" w:cs="Times New Roman"/>
          <w:kern w:val="0"/>
          <w:sz w:val="32"/>
          <w:szCs w:val="32"/>
          <w:lang w:val="zh-CN" w:eastAsia="zh-CN" w:bidi="ar-SA"/>
        </w:rPr>
        <w:t>物业</w:t>
      </w:r>
      <w:r>
        <w:rPr>
          <w:rFonts w:hint="eastAsia" w:ascii="Times New Roman" w:hAnsi="Times New Roman" w:eastAsia="仿宋_GB2312" w:cs="Times New Roman"/>
          <w:kern w:val="0"/>
          <w:sz w:val="32"/>
          <w:szCs w:val="32"/>
          <w:lang w:val="zh-CN" w:eastAsia="zh-CN" w:bidi="ar-SA"/>
        </w:rPr>
        <w:t>范围内进行的保安服务、保洁服务、会议服务、绿化养护服务及餐饮服务</w:t>
      </w:r>
      <w:r>
        <w:rPr>
          <w:rFonts w:ascii="Times New Roman" w:hAnsi="Times New Roman" w:eastAsia="仿宋_GB2312" w:cs="Times New Roman"/>
          <w:kern w:val="0"/>
          <w:sz w:val="32"/>
          <w:szCs w:val="32"/>
          <w:lang w:val="zh-CN" w:eastAsia="zh-CN" w:bidi="ar-SA"/>
        </w:rPr>
        <w:t>等</w:t>
      </w:r>
      <w:r>
        <w:rPr>
          <w:rFonts w:hint="eastAsia" w:ascii="Times New Roman" w:hAnsi="Times New Roman" w:eastAsia="仿宋_GB2312" w:cs="Times New Roman"/>
          <w:kern w:val="0"/>
          <w:sz w:val="32"/>
          <w:szCs w:val="32"/>
          <w:lang w:val="zh-CN" w:eastAsia="zh-CN" w:bidi="ar-SA"/>
        </w:rPr>
        <w:t>管理行为，其他物业服务事项应履行集体决策程序，并报市财政局备案后执行。</w:t>
      </w:r>
    </w:p>
    <w:p>
      <w:pPr>
        <w:widowControl w:val="0"/>
        <w:numPr>
          <w:ilvl w:val="0"/>
          <w:numId w:val="0"/>
        </w:numPr>
        <w:adjustRightInd w:val="0"/>
        <w:spacing w:before="120" w:after="60" w:line="500" w:lineRule="exact"/>
        <w:ind w:firstLine="720" w:firstLineChars="200"/>
        <w:jc w:val="left"/>
        <w:outlineLvl w:val="0"/>
        <w:rPr>
          <w:rFonts w:ascii="Times New Roman" w:hAnsi="Times New Roman" w:eastAsia="黑体" w:cs="Times New Roman"/>
          <w:bCs/>
          <w:kern w:val="44"/>
          <w:sz w:val="36"/>
          <w:szCs w:val="48"/>
          <w:lang w:val="zh-CN" w:eastAsia="zh-CN" w:bidi="ar-SA"/>
        </w:rPr>
      </w:pPr>
      <w:r>
        <w:rPr>
          <w:rFonts w:hint="eastAsia" w:ascii="Times New Roman" w:hAnsi="Times New Roman" w:eastAsia="黑体" w:cs="Times New Roman"/>
          <w:bCs/>
          <w:kern w:val="44"/>
          <w:sz w:val="36"/>
          <w:szCs w:val="48"/>
          <w:lang w:val="en-US" w:eastAsia="zh-CN" w:bidi="ar-SA"/>
        </w:rPr>
        <w:t>二、</w:t>
      </w:r>
      <w:r>
        <w:rPr>
          <w:rFonts w:ascii="Times New Roman" w:hAnsi="Times New Roman" w:eastAsia="黑体" w:cs="Times New Roman"/>
          <w:bCs/>
          <w:kern w:val="44"/>
          <w:sz w:val="36"/>
          <w:szCs w:val="48"/>
          <w:lang w:val="zh-CN" w:eastAsia="zh-CN" w:bidi="ar-SA"/>
        </w:rPr>
        <w:t>设立依据</w:t>
      </w:r>
    </w:p>
    <w:p>
      <w:pPr>
        <w:widowControl w:val="0"/>
        <w:spacing w:line="500" w:lineRule="exact"/>
        <w:ind w:firstLine="640" w:firstLineChars="200"/>
        <w:jc w:val="both"/>
        <w:rPr>
          <w:rFonts w:ascii="Times New Roman" w:hAnsi="Times New Roman" w:eastAsia="仿宋_GB2312" w:cs="Times New Roman"/>
          <w:kern w:val="0"/>
          <w:sz w:val="32"/>
          <w:szCs w:val="32"/>
          <w:lang w:val="en-US" w:eastAsia="zh-CN" w:bidi="ar-SA"/>
        </w:rPr>
      </w:pPr>
      <w:r>
        <w:rPr>
          <w:rFonts w:ascii="Times New Roman" w:hAnsi="Times New Roman" w:eastAsia="仿宋_GB2312" w:cs="Times New Roman"/>
          <w:kern w:val="0"/>
          <w:sz w:val="32"/>
          <w:szCs w:val="32"/>
          <w:lang w:val="zh-CN" w:eastAsia="zh-CN" w:bidi="ar-SA"/>
        </w:rPr>
        <w:t>本标准参照</w:t>
      </w:r>
      <w:r>
        <w:rPr>
          <w:rFonts w:hint="eastAsia" w:ascii="Times New Roman" w:hAnsi="Times New Roman" w:eastAsia="仿宋_GB2312" w:cs="Times New Roman"/>
          <w:kern w:val="0"/>
          <w:sz w:val="32"/>
          <w:szCs w:val="32"/>
          <w:lang w:val="zh-CN" w:eastAsia="zh-CN" w:bidi="ar-SA"/>
        </w:rPr>
        <w:t>《</w:t>
      </w:r>
      <w:r>
        <w:rPr>
          <w:rFonts w:hint="eastAsia" w:ascii="Times New Roman" w:hAnsi="Times New Roman" w:eastAsia="仿宋_GB2312" w:cs="Times New Roman"/>
          <w:kern w:val="0"/>
          <w:sz w:val="32"/>
          <w:szCs w:val="32"/>
          <w:lang w:val="en-US" w:eastAsia="zh-CN" w:bidi="ar-SA"/>
        </w:rPr>
        <w:t>内蒙古自治区机关事务管理局关于集中办公区物业服务定额参考标准的通知</w:t>
      </w:r>
      <w:r>
        <w:rPr>
          <w:rFonts w:hint="eastAsia" w:ascii="Times New Roman" w:hAnsi="Times New Roman" w:eastAsia="仿宋_GB2312" w:cs="Times New Roman"/>
          <w:kern w:val="0"/>
          <w:sz w:val="32"/>
          <w:szCs w:val="32"/>
          <w:lang w:val="zh-CN" w:eastAsia="zh-CN" w:bidi="ar-SA"/>
        </w:rPr>
        <w:t>》</w:t>
      </w:r>
      <w:r>
        <w:rPr>
          <w:rFonts w:hint="eastAsia" w:ascii="Times New Roman" w:hAnsi="Times New Roman" w:eastAsia="仿宋_GB2312" w:cs="Times New Roman"/>
          <w:kern w:val="0"/>
          <w:sz w:val="32"/>
          <w:szCs w:val="32"/>
          <w:lang w:val="en-US" w:eastAsia="zh-CN" w:bidi="ar-SA"/>
        </w:rPr>
        <w:t>（内管法字〔2023〕617号）、《内蒙古自治区本级党政机关后勤服务指南》（DB15/T 2012-2020）、《党政机关办公区物业服务管理规范》（DB15/T 2011-2024代替DB15/T 2011-2020）、《机关餐厅运行规范》（DB15T 2010-2020）、《党政机关办公区绿化养护及服务管理规范》（DB15T 2009-2020）、《党政机关会议服务规范》（DB15T 2008-2020）、和林格尔县机关事务服务中心党政办公区物业管理规章制度、和林格尔县机关事务服务中心物业服务股工作管理制度等有关</w:t>
      </w:r>
      <w:r>
        <w:rPr>
          <w:rFonts w:ascii="Times New Roman" w:hAnsi="Times New Roman" w:eastAsia="仿宋_GB2312" w:cs="Times New Roman"/>
          <w:kern w:val="0"/>
          <w:sz w:val="32"/>
          <w:szCs w:val="32"/>
          <w:lang w:val="en-US" w:eastAsia="zh-CN" w:bidi="ar-SA"/>
        </w:rPr>
        <w:t>要求</w:t>
      </w:r>
      <w:r>
        <w:rPr>
          <w:rFonts w:ascii="Times New Roman" w:hAnsi="Times New Roman" w:eastAsia="仿宋_GB2312" w:cs="Times New Roman"/>
          <w:kern w:val="0"/>
          <w:sz w:val="32"/>
          <w:szCs w:val="32"/>
          <w:lang w:val="zh-CN" w:eastAsia="zh-CN" w:bidi="ar-SA"/>
        </w:rPr>
        <w:t>，结合</w:t>
      </w:r>
      <w:r>
        <w:rPr>
          <w:rFonts w:hint="eastAsia" w:ascii="Times New Roman" w:hAnsi="Times New Roman" w:eastAsia="仿宋_GB2312" w:cs="Times New Roman"/>
          <w:kern w:val="0"/>
          <w:sz w:val="32"/>
          <w:szCs w:val="32"/>
          <w:lang w:val="zh-CN" w:eastAsia="zh-CN" w:bidi="ar-SA"/>
        </w:rPr>
        <w:t>和林格尔县物业管理</w:t>
      </w:r>
      <w:r>
        <w:rPr>
          <w:rFonts w:ascii="Times New Roman" w:hAnsi="Times New Roman" w:eastAsia="仿宋_GB2312" w:cs="Times New Roman"/>
          <w:kern w:val="0"/>
          <w:sz w:val="32"/>
          <w:szCs w:val="32"/>
          <w:lang w:val="zh-CN" w:eastAsia="zh-CN" w:bidi="ar-SA"/>
        </w:rPr>
        <w:t>项目实施内容</w:t>
      </w:r>
      <w:r>
        <w:rPr>
          <w:rFonts w:hint="eastAsia" w:ascii="Times New Roman" w:hAnsi="Times New Roman" w:eastAsia="仿宋_GB2312" w:cs="Times New Roman"/>
          <w:kern w:val="0"/>
          <w:sz w:val="32"/>
          <w:szCs w:val="32"/>
          <w:lang w:val="zh-CN" w:eastAsia="zh-CN" w:bidi="ar-SA"/>
        </w:rPr>
        <w:t>及和林格尔县物业管理行业现状</w:t>
      </w:r>
      <w:r>
        <w:rPr>
          <w:rFonts w:ascii="Times New Roman" w:hAnsi="Times New Roman" w:eastAsia="仿宋_GB2312" w:cs="Times New Roman"/>
          <w:kern w:val="0"/>
          <w:sz w:val="32"/>
          <w:szCs w:val="32"/>
          <w:lang w:val="zh-CN" w:eastAsia="zh-CN" w:bidi="ar-SA"/>
        </w:rPr>
        <w:t>制定，是编制和审核</w:t>
      </w:r>
      <w:r>
        <w:rPr>
          <w:rFonts w:hint="eastAsia" w:ascii="Times New Roman" w:hAnsi="Times New Roman" w:eastAsia="仿宋_GB2312" w:cs="Times New Roman"/>
          <w:kern w:val="0"/>
          <w:sz w:val="32"/>
          <w:szCs w:val="32"/>
          <w:lang w:val="zh-CN" w:eastAsia="zh-CN" w:bidi="ar-SA"/>
        </w:rPr>
        <w:t>物业管理</w:t>
      </w:r>
      <w:r>
        <w:rPr>
          <w:rFonts w:ascii="Times New Roman" w:hAnsi="Times New Roman" w:eastAsia="仿宋_GB2312" w:cs="Times New Roman"/>
          <w:kern w:val="0"/>
          <w:sz w:val="32"/>
          <w:szCs w:val="32"/>
          <w:lang w:val="zh-CN" w:eastAsia="zh-CN" w:bidi="ar-SA"/>
        </w:rPr>
        <w:t>项目预算的基本依据。</w:t>
      </w:r>
    </w:p>
    <w:p>
      <w:pPr>
        <w:widowControl w:val="0"/>
        <w:numPr>
          <w:ilvl w:val="0"/>
          <w:numId w:val="0"/>
        </w:numPr>
        <w:adjustRightInd w:val="0"/>
        <w:spacing w:before="120" w:after="60" w:line="500" w:lineRule="exact"/>
        <w:ind w:firstLine="720" w:firstLineChars="200"/>
        <w:jc w:val="left"/>
        <w:outlineLvl w:val="0"/>
        <w:rPr>
          <w:rFonts w:ascii="Times New Roman" w:hAnsi="Times New Roman" w:eastAsia="黑体" w:cs="Times New Roman"/>
          <w:bCs/>
          <w:kern w:val="44"/>
          <w:sz w:val="36"/>
          <w:szCs w:val="48"/>
          <w:lang w:val="zh-CN" w:eastAsia="zh-CN" w:bidi="ar-SA"/>
        </w:rPr>
      </w:pPr>
      <w:r>
        <w:rPr>
          <w:rFonts w:hint="eastAsia" w:ascii="Times New Roman" w:hAnsi="Times New Roman" w:eastAsia="黑体" w:cs="Times New Roman"/>
          <w:bCs/>
          <w:kern w:val="44"/>
          <w:sz w:val="36"/>
          <w:szCs w:val="48"/>
          <w:lang w:val="en-US" w:eastAsia="zh-CN" w:bidi="ar-SA"/>
        </w:rPr>
        <w:t>三、</w:t>
      </w:r>
      <w:r>
        <w:rPr>
          <w:rFonts w:ascii="Times New Roman" w:hAnsi="Times New Roman" w:eastAsia="黑体" w:cs="Times New Roman"/>
          <w:bCs/>
          <w:kern w:val="44"/>
          <w:sz w:val="36"/>
          <w:szCs w:val="48"/>
          <w:lang w:val="zh-CN" w:eastAsia="zh-CN" w:bidi="ar-SA"/>
        </w:rPr>
        <w:t>支出标准</w:t>
      </w:r>
    </w:p>
    <w:p>
      <w:pPr>
        <w:widowControl w:val="0"/>
        <w:numPr>
          <w:ilvl w:val="0"/>
          <w:numId w:val="6"/>
        </w:numPr>
        <w:spacing w:line="500" w:lineRule="exact"/>
        <w:ind w:left="1000" w:hanging="440" w:firstLineChars="0"/>
        <w:jc w:val="both"/>
        <w:rPr>
          <w:rFonts w:hint="eastAsia" w:ascii="楷体_GB2312" w:hAnsi="楷体_GB2312" w:eastAsia="楷体_GB2312" w:cs="楷体_GB2312"/>
          <w:kern w:val="0"/>
          <w:sz w:val="32"/>
          <w:szCs w:val="32"/>
          <w:lang w:val="zh-CN" w:eastAsia="zh-CN" w:bidi="ar-SA"/>
        </w:rPr>
      </w:pPr>
      <w:r>
        <w:rPr>
          <w:rFonts w:hint="eastAsia" w:ascii="楷体_GB2312" w:hAnsi="楷体_GB2312" w:eastAsia="楷体_GB2312" w:cs="楷体_GB2312"/>
          <w:kern w:val="0"/>
          <w:sz w:val="32"/>
          <w:szCs w:val="32"/>
          <w:lang w:val="zh-CN" w:eastAsia="zh-CN" w:bidi="ar-SA"/>
        </w:rPr>
        <w:t>项目实施内容与预算构成对应关系</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物业管理支出项目实施内容包括保洁服务、安保服务、会议服务、绿化养护和餐饮服务5项。</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保洁服务旨在保持办公环境的整洁与卫生，涵盖室内外公共区域保洁、卫生间保洁、垃圾处理等方面；</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安保服务旨在确保机关单位的安全与秩序，涵盖门禁管理、秩序管理、停车管理等方面；</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会议服务包括会前会场布置、会中迎宾接待、会后环境还原等方面；</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绿化养护服务旨在对绿化景观进行修剪、浇水、拔草、复壮、施肥、病虫害防治及局部景观提升等常规养护工作；日常绿植养护巡查、防火巡查等；</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餐饮服务旨在餐厅的食材加工、餐饮供应服务；餐厅设施设备的维护；餐厅及三包区域的卫生清洁工作；</w:t>
      </w:r>
    </w:p>
    <w:p>
      <w:pPr>
        <w:widowControl w:val="0"/>
        <w:spacing w:line="500" w:lineRule="exact"/>
        <w:ind w:firstLine="640" w:firstLineChars="200"/>
        <w:jc w:val="both"/>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具体服务内容见下表：</w:t>
      </w:r>
    </w:p>
    <w:p>
      <w:pPr>
        <w:widowControl w:val="0"/>
        <w:spacing w:before="60" w:after="60"/>
        <w:jc w:val="center"/>
        <w:rPr>
          <w:rFonts w:ascii="Times New Roman" w:hAnsi="Times New Roman" w:eastAsia="仿宋_GB2312" w:cs="Times New Roman"/>
          <w:b/>
          <w:kern w:val="0"/>
          <w:sz w:val="28"/>
          <w:szCs w:val="32"/>
          <w:lang w:val="en-US" w:eastAsia="zh-CN" w:bidi="ar-SA"/>
        </w:rPr>
      </w:pPr>
      <w:r>
        <w:rPr>
          <w:rFonts w:hint="eastAsia" w:ascii="Times New Roman" w:hAnsi="Times New Roman" w:eastAsia="仿宋_GB2312" w:cs="Times New Roman"/>
          <w:b/>
          <w:kern w:val="0"/>
          <w:sz w:val="28"/>
          <w:szCs w:val="32"/>
          <w:lang w:val="en-US" w:eastAsia="zh-CN" w:bidi="ar-SA"/>
        </w:rPr>
        <w:t>表3</w:t>
      </w:r>
      <w:r>
        <w:rPr>
          <w:rFonts w:ascii="Times New Roman" w:hAnsi="Times New Roman" w:eastAsia="仿宋_GB2312" w:cs="Times New Roman"/>
          <w:b/>
          <w:kern w:val="0"/>
          <w:sz w:val="28"/>
          <w:szCs w:val="32"/>
          <w:lang w:val="en-US" w:eastAsia="zh-CN" w:bidi="ar-SA"/>
        </w:rPr>
        <w:t>-1</w:t>
      </w:r>
      <w:r>
        <w:rPr>
          <w:rFonts w:hint="eastAsia" w:ascii="Times New Roman" w:hAnsi="Times New Roman" w:eastAsia="仿宋_GB2312" w:cs="Times New Roman"/>
          <w:b/>
          <w:kern w:val="0"/>
          <w:sz w:val="28"/>
          <w:szCs w:val="32"/>
          <w:lang w:val="en-US" w:eastAsia="zh-CN" w:bidi="ar-SA"/>
        </w:rPr>
        <w:t>物业管理服务项目</w:t>
      </w:r>
      <w:r>
        <w:rPr>
          <w:rFonts w:ascii="Times New Roman" w:hAnsi="Times New Roman" w:eastAsia="仿宋_GB2312" w:cs="Times New Roman"/>
          <w:b/>
          <w:kern w:val="0"/>
          <w:sz w:val="28"/>
          <w:szCs w:val="32"/>
          <w:lang w:val="en-US" w:eastAsia="zh-CN" w:bidi="ar-SA"/>
        </w:rPr>
        <w:t>实施内容与预算构成对应表</w:t>
      </w:r>
    </w:p>
    <w:tbl>
      <w:tblPr>
        <w:tblStyle w:val="18"/>
        <w:tblW w:w="4938" w:type="pct"/>
        <w:tblInd w:w="0" w:type="dxa"/>
        <w:tblBorders>
          <w:top w:val="single" w:color="000000" w:sz="8" w:space="0"/>
          <w:left w:val="single" w:color="000000" w:sz="4" w:space="0"/>
          <w:bottom w:val="single" w:color="000000" w:sz="8" w:space="0"/>
          <w:right w:val="single" w:color="000000" w:sz="4" w:space="0"/>
          <w:insideH w:val="single" w:color="000000" w:sz="8" w:space="0"/>
          <w:insideV w:val="single" w:color="000000" w:sz="4" w:space="0"/>
        </w:tblBorders>
        <w:tblLayout w:type="autofit"/>
        <w:tblCellMar>
          <w:top w:w="0" w:type="dxa"/>
          <w:left w:w="108" w:type="dxa"/>
          <w:bottom w:w="0" w:type="dxa"/>
          <w:right w:w="108" w:type="dxa"/>
        </w:tblCellMar>
      </w:tblPr>
      <w:tblGrid>
        <w:gridCol w:w="1486"/>
        <w:gridCol w:w="1620"/>
        <w:gridCol w:w="5843"/>
      </w:tblGrid>
      <w:tr>
        <w:tblPrEx>
          <w:tblBorders>
            <w:top w:val="single" w:color="000000" w:sz="8" w:space="0"/>
            <w:left w:val="single" w:color="000000" w:sz="4" w:space="0"/>
            <w:bottom w:val="single" w:color="000000" w:sz="8" w:space="0"/>
            <w:right w:val="single" w:color="000000" w:sz="4" w:space="0"/>
            <w:insideH w:val="single" w:color="000000" w:sz="8" w:space="0"/>
            <w:insideV w:val="single" w:color="000000" w:sz="4" w:space="0"/>
          </w:tblBorders>
          <w:tblCellMar>
            <w:top w:w="0" w:type="dxa"/>
            <w:left w:w="108" w:type="dxa"/>
            <w:bottom w:w="0" w:type="dxa"/>
            <w:right w:w="108" w:type="dxa"/>
          </w:tblCellMar>
        </w:tblPrEx>
        <w:trPr>
          <w:trHeight w:val="20" w:hRule="atLeast"/>
        </w:trPr>
        <w:tc>
          <w:tcPr>
            <w:tcW w:w="1735" w:type="pct"/>
            <w:gridSpan w:val="2"/>
            <w:shd w:val="clear" w:color="auto" w:fill="D7D7D7" w:themeFill="background1" w:themeFillShade="D8"/>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
                <w:bCs w:val="0"/>
                <w:color w:val="000000"/>
                <w:kern w:val="0"/>
                <w:sz w:val="24"/>
                <w:szCs w:val="21"/>
                <w:lang w:val="zh-CN" w:eastAsia="zh-CN" w:bidi="ar-SA"/>
              </w:rPr>
            </w:pPr>
            <w:r>
              <w:rPr>
                <w:rFonts w:hint="default" w:ascii="Times New Roman" w:hAnsi="Times New Roman" w:eastAsia="仿宋_GB2312" w:cs="Times New Roman"/>
                <w:b/>
                <w:bCs w:val="0"/>
                <w:color w:val="000000"/>
                <w:kern w:val="0"/>
                <w:sz w:val="24"/>
                <w:szCs w:val="21"/>
                <w:lang w:val="zh-CN" w:eastAsia="zh-CN" w:bidi="ar-SA"/>
              </w:rPr>
              <w:t>物业管理</w:t>
            </w:r>
          </w:p>
        </w:tc>
        <w:tc>
          <w:tcPr>
            <w:tcW w:w="3264" w:type="pct"/>
            <w:shd w:val="clear" w:color="auto" w:fill="D7D7D7" w:themeFill="background1" w:themeFillShade="D8"/>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
                <w:bCs w:val="0"/>
                <w:color w:val="000000"/>
                <w:kern w:val="0"/>
                <w:sz w:val="24"/>
                <w:szCs w:val="21"/>
                <w:lang w:val="zh-CN" w:eastAsia="zh-CN" w:bidi="ar-SA"/>
              </w:rPr>
            </w:pPr>
            <w:r>
              <w:rPr>
                <w:rFonts w:hint="default" w:ascii="Times New Roman" w:hAnsi="Times New Roman" w:eastAsia="仿宋_GB2312" w:cs="Times New Roman"/>
                <w:b/>
                <w:bCs w:val="0"/>
                <w:color w:val="000000"/>
                <w:kern w:val="0"/>
                <w:sz w:val="24"/>
                <w:szCs w:val="21"/>
                <w:lang w:val="zh-CN" w:eastAsia="zh-CN" w:bidi="ar-SA"/>
              </w:rPr>
              <w:t>服务内容</w:t>
            </w:r>
          </w:p>
        </w:tc>
      </w:tr>
      <w:tr>
        <w:tblPrEx>
          <w:tblBorders>
            <w:top w:val="single" w:color="000000" w:sz="8" w:space="0"/>
            <w:left w:val="single" w:color="000000" w:sz="4" w:space="0"/>
            <w:bottom w:val="single" w:color="000000" w:sz="8" w:space="0"/>
            <w:right w:val="single" w:color="000000" w:sz="4" w:space="0"/>
            <w:insideH w:val="single" w:color="000000" w:sz="8" w:space="0"/>
            <w:insideV w:val="single" w:color="000000" w:sz="4" w:space="0"/>
          </w:tblBorders>
          <w:tblCellMar>
            <w:top w:w="0" w:type="dxa"/>
            <w:left w:w="108" w:type="dxa"/>
            <w:bottom w:w="0" w:type="dxa"/>
            <w:right w:w="108" w:type="dxa"/>
          </w:tblCellMar>
        </w:tblPrEx>
        <w:trPr>
          <w:trHeight w:val="20" w:hRule="atLeast"/>
        </w:trPr>
        <w:tc>
          <w:tcPr>
            <w:tcW w:w="830" w:type="pct"/>
            <w:vMerge w:val="restar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保洁服务</w:t>
            </w:r>
          </w:p>
        </w:tc>
        <w:tc>
          <w:tcPr>
            <w:tcW w:w="905"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楼内保洁</w:t>
            </w:r>
          </w:p>
        </w:tc>
        <w:tc>
          <w:tcPr>
            <w:tcW w:w="3264" w:type="pct"/>
            <w:vAlign w:val="center"/>
          </w:tcPr>
          <w:p>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各楼宇公共区域卫生清洁服务。包括:卫生间、开水间、墩布间、大厅和走廊地面、墙面、顶棚、踢脚线、台阶、窗台、公共区域门、垃圾桶、隔板门、洗手池、镜面、消防通道门、公共区域玻璃、公共区域沙发、排风口、展示栏、监控探头等清洁工作</w:t>
            </w:r>
            <w:r>
              <w:rPr>
                <w:rFonts w:hint="eastAsia" w:ascii="Times New Roman" w:hAnsi="Times New Roman" w:eastAsia="仿宋_GB2312" w:cs="Times New Roman"/>
                <w:bCs/>
                <w:color w:val="000000"/>
                <w:kern w:val="0"/>
                <w:sz w:val="24"/>
                <w:szCs w:val="21"/>
                <w:lang w:val="zh-CN" w:eastAsia="zh-CN" w:bidi="ar-SA"/>
              </w:rPr>
              <w:t>；</w:t>
            </w:r>
            <w:r>
              <w:rPr>
                <w:rFonts w:hint="default" w:ascii="Times New Roman" w:hAnsi="Times New Roman" w:eastAsia="仿宋_GB2312" w:cs="Times New Roman"/>
                <w:bCs/>
                <w:color w:val="000000"/>
                <w:kern w:val="0"/>
                <w:sz w:val="24"/>
                <w:szCs w:val="21"/>
                <w:lang w:val="zh-CN" w:eastAsia="zh-CN" w:bidi="ar-SA"/>
              </w:rPr>
              <w:t>办公楼内产生的各类日常垃圾,分类转运至指定地点</w:t>
            </w:r>
            <w:r>
              <w:rPr>
                <w:rFonts w:hint="eastAsia" w:ascii="Times New Roman" w:hAnsi="Times New Roman" w:eastAsia="仿宋_GB2312" w:cs="Times New Roman"/>
                <w:bCs/>
                <w:color w:val="000000"/>
                <w:kern w:val="0"/>
                <w:sz w:val="24"/>
                <w:szCs w:val="21"/>
                <w:lang w:val="zh-CN" w:eastAsia="zh-CN" w:bidi="ar-SA"/>
              </w:rPr>
              <w:t>；</w:t>
            </w:r>
            <w:r>
              <w:rPr>
                <w:rFonts w:hint="default" w:ascii="Times New Roman" w:hAnsi="Times New Roman" w:eastAsia="仿宋_GB2312" w:cs="Times New Roman"/>
                <w:bCs/>
                <w:color w:val="000000"/>
                <w:kern w:val="0"/>
                <w:sz w:val="24"/>
                <w:szCs w:val="21"/>
                <w:lang w:val="zh-CN" w:eastAsia="zh-CN" w:bidi="ar-SA"/>
              </w:rPr>
              <w:t>办公楼内日常卫生消杀服务</w:t>
            </w:r>
            <w:r>
              <w:rPr>
                <w:rFonts w:hint="eastAsia" w:ascii="Times New Roman" w:hAnsi="Times New Roman" w:eastAsia="仿宋_GB2312" w:cs="Times New Roman"/>
                <w:bCs/>
                <w:color w:val="000000"/>
                <w:kern w:val="0"/>
                <w:sz w:val="24"/>
                <w:szCs w:val="21"/>
                <w:lang w:val="zh-CN" w:eastAsia="zh-CN" w:bidi="ar-SA"/>
              </w:rPr>
              <w:t>；</w:t>
            </w:r>
            <w:r>
              <w:rPr>
                <w:rFonts w:hint="default" w:ascii="Times New Roman" w:hAnsi="Times New Roman" w:eastAsia="仿宋_GB2312" w:cs="Times New Roman"/>
                <w:bCs/>
                <w:color w:val="000000"/>
                <w:kern w:val="0"/>
                <w:sz w:val="24"/>
                <w:szCs w:val="21"/>
                <w:lang w:val="zh-CN" w:eastAsia="zh-CN" w:bidi="ar-SA"/>
              </w:rPr>
              <w:t>楼内设备的日常维护工作</w:t>
            </w:r>
            <w:r>
              <w:rPr>
                <w:rFonts w:hint="eastAsia" w:ascii="Times New Roman" w:hAnsi="Times New Roman" w:eastAsia="仿宋_GB2312" w:cs="Times New Roman"/>
                <w:bCs/>
                <w:color w:val="000000"/>
                <w:kern w:val="0"/>
                <w:sz w:val="24"/>
                <w:szCs w:val="21"/>
                <w:lang w:val="zh-CN" w:eastAsia="zh-CN" w:bidi="ar-SA"/>
              </w:rPr>
              <w:t>；</w:t>
            </w:r>
            <w:r>
              <w:rPr>
                <w:rFonts w:hint="default" w:ascii="Times New Roman" w:hAnsi="Times New Roman" w:eastAsia="仿宋_GB2312" w:cs="Times New Roman"/>
                <w:bCs/>
                <w:color w:val="000000"/>
                <w:kern w:val="0"/>
                <w:sz w:val="24"/>
                <w:szCs w:val="21"/>
                <w:lang w:val="zh-CN" w:eastAsia="zh-CN" w:bidi="ar-SA"/>
              </w:rPr>
              <w:t>公共设施设备损坏、异常情况报修</w:t>
            </w:r>
            <w:r>
              <w:rPr>
                <w:rFonts w:hint="eastAsia" w:ascii="Times New Roman" w:hAnsi="Times New Roman" w:eastAsia="仿宋_GB2312" w:cs="Times New Roman"/>
                <w:bCs/>
                <w:color w:val="000000"/>
                <w:kern w:val="0"/>
                <w:sz w:val="24"/>
                <w:szCs w:val="21"/>
                <w:lang w:val="zh-CN" w:eastAsia="zh-CN" w:bidi="ar-SA"/>
              </w:rPr>
              <w:t>；</w:t>
            </w:r>
            <w:r>
              <w:rPr>
                <w:rFonts w:hint="default" w:ascii="Times New Roman" w:hAnsi="Times New Roman" w:eastAsia="仿宋_GB2312" w:cs="Times New Roman"/>
                <w:bCs/>
                <w:color w:val="000000"/>
                <w:kern w:val="0"/>
                <w:sz w:val="24"/>
                <w:szCs w:val="21"/>
                <w:lang w:val="zh-CN" w:eastAsia="zh-CN" w:bidi="ar-SA"/>
              </w:rPr>
              <w:t>其他楼内保洁工作</w:t>
            </w:r>
          </w:p>
        </w:tc>
      </w:tr>
      <w:tr>
        <w:tblPrEx>
          <w:tblBorders>
            <w:top w:val="single" w:color="000000" w:sz="8" w:space="0"/>
            <w:left w:val="single" w:color="000000" w:sz="4" w:space="0"/>
            <w:bottom w:val="single" w:color="000000" w:sz="8" w:space="0"/>
            <w:right w:val="single" w:color="000000" w:sz="4" w:space="0"/>
            <w:insideH w:val="single" w:color="000000" w:sz="8" w:space="0"/>
            <w:insideV w:val="single" w:color="000000" w:sz="4" w:space="0"/>
          </w:tblBorders>
          <w:tblCellMar>
            <w:top w:w="0" w:type="dxa"/>
            <w:left w:w="108" w:type="dxa"/>
            <w:bottom w:w="0" w:type="dxa"/>
            <w:right w:w="108" w:type="dxa"/>
          </w:tblCellMar>
        </w:tblPrEx>
        <w:trPr>
          <w:trHeight w:val="20" w:hRule="atLeast"/>
        </w:trPr>
        <w:tc>
          <w:tcPr>
            <w:tcW w:w="830" w:type="pct"/>
            <w:vMerge w:val="continue"/>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p>
        </w:tc>
        <w:tc>
          <w:tcPr>
            <w:tcW w:w="905"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户外保洁</w:t>
            </w:r>
          </w:p>
        </w:tc>
        <w:tc>
          <w:tcPr>
            <w:tcW w:w="3264" w:type="pct"/>
            <w:vAlign w:val="center"/>
          </w:tcPr>
          <w:p>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办公区域内道路、绿化区域人行路、主干道、广场日常保洁、标识物擦拭、路面日常垃圾拾捡及秋季落叶清理、冬季积雪清理</w:t>
            </w:r>
            <w:r>
              <w:rPr>
                <w:rFonts w:hint="eastAsia" w:ascii="Times New Roman" w:hAnsi="Times New Roman" w:eastAsia="仿宋_GB2312" w:cs="Times New Roman"/>
                <w:bCs/>
                <w:color w:val="000000"/>
                <w:kern w:val="0"/>
                <w:sz w:val="24"/>
                <w:szCs w:val="21"/>
                <w:lang w:val="zh-CN" w:eastAsia="zh-CN" w:bidi="ar-SA"/>
              </w:rPr>
              <w:t>；</w:t>
            </w:r>
            <w:r>
              <w:rPr>
                <w:rFonts w:hint="default" w:ascii="Times New Roman" w:hAnsi="Times New Roman" w:eastAsia="仿宋_GB2312" w:cs="Times New Roman"/>
                <w:bCs/>
                <w:color w:val="000000"/>
                <w:kern w:val="0"/>
                <w:sz w:val="24"/>
                <w:szCs w:val="21"/>
                <w:lang w:val="zh-CN" w:eastAsia="zh-CN" w:bidi="ar-SA"/>
              </w:rPr>
              <w:t>公共区域垃圾、公共区域水篦子清掏工作</w:t>
            </w:r>
            <w:r>
              <w:rPr>
                <w:rFonts w:hint="eastAsia" w:ascii="Times New Roman" w:hAnsi="Times New Roman" w:eastAsia="仿宋_GB2312" w:cs="Times New Roman"/>
                <w:bCs/>
                <w:color w:val="000000"/>
                <w:kern w:val="0"/>
                <w:sz w:val="24"/>
                <w:szCs w:val="21"/>
                <w:lang w:val="zh-CN" w:eastAsia="zh-CN" w:bidi="ar-SA"/>
              </w:rPr>
              <w:t>；</w:t>
            </w:r>
            <w:r>
              <w:rPr>
                <w:rFonts w:hint="default" w:ascii="Times New Roman" w:hAnsi="Times New Roman" w:eastAsia="仿宋_GB2312" w:cs="Times New Roman"/>
                <w:bCs/>
                <w:color w:val="000000"/>
                <w:kern w:val="0"/>
                <w:sz w:val="24"/>
                <w:szCs w:val="21"/>
                <w:lang w:val="zh-CN" w:eastAsia="zh-CN" w:bidi="ar-SA"/>
              </w:rPr>
              <w:t>冬季人工及机械化除雪服务</w:t>
            </w:r>
            <w:r>
              <w:rPr>
                <w:rFonts w:hint="eastAsia" w:ascii="Times New Roman" w:hAnsi="Times New Roman" w:eastAsia="仿宋_GB2312" w:cs="Times New Roman"/>
                <w:bCs/>
                <w:color w:val="000000"/>
                <w:kern w:val="0"/>
                <w:sz w:val="24"/>
                <w:szCs w:val="21"/>
                <w:lang w:val="zh-CN" w:eastAsia="zh-CN" w:bidi="ar-SA"/>
              </w:rPr>
              <w:t>；</w:t>
            </w:r>
            <w:r>
              <w:rPr>
                <w:rFonts w:hint="default" w:ascii="Times New Roman" w:hAnsi="Times New Roman" w:eastAsia="仿宋_GB2312" w:cs="Times New Roman"/>
                <w:bCs/>
                <w:color w:val="000000"/>
                <w:kern w:val="0"/>
                <w:sz w:val="24"/>
                <w:szCs w:val="21"/>
                <w:lang w:val="zh-CN" w:eastAsia="zh-CN" w:bidi="ar-SA"/>
              </w:rPr>
              <w:t>办公楼外日常卫生消杀服务</w:t>
            </w:r>
            <w:r>
              <w:rPr>
                <w:rFonts w:hint="eastAsia" w:ascii="Times New Roman" w:hAnsi="Times New Roman" w:eastAsia="仿宋_GB2312" w:cs="Times New Roman"/>
                <w:bCs/>
                <w:color w:val="000000"/>
                <w:kern w:val="0"/>
                <w:sz w:val="24"/>
                <w:szCs w:val="21"/>
                <w:lang w:val="zh-CN" w:eastAsia="zh-CN" w:bidi="ar-SA"/>
              </w:rPr>
              <w:t>；</w:t>
            </w:r>
            <w:r>
              <w:rPr>
                <w:rFonts w:hint="default" w:ascii="Times New Roman" w:hAnsi="Times New Roman" w:eastAsia="仿宋_GB2312" w:cs="Times New Roman"/>
                <w:bCs/>
                <w:color w:val="000000"/>
                <w:kern w:val="0"/>
                <w:sz w:val="24"/>
                <w:szCs w:val="21"/>
                <w:lang w:val="zh-CN" w:eastAsia="zh-CN" w:bidi="ar-SA"/>
              </w:rPr>
              <w:t>公共区域设备清洁维护工作</w:t>
            </w:r>
            <w:r>
              <w:rPr>
                <w:rFonts w:hint="eastAsia" w:ascii="Times New Roman" w:hAnsi="Times New Roman" w:eastAsia="仿宋_GB2312" w:cs="Times New Roman"/>
                <w:bCs/>
                <w:color w:val="000000"/>
                <w:kern w:val="0"/>
                <w:sz w:val="24"/>
                <w:szCs w:val="21"/>
                <w:lang w:val="zh-CN" w:eastAsia="zh-CN" w:bidi="ar-SA"/>
              </w:rPr>
              <w:t>；</w:t>
            </w:r>
            <w:r>
              <w:rPr>
                <w:rFonts w:hint="default" w:ascii="Times New Roman" w:hAnsi="Times New Roman" w:eastAsia="仿宋_GB2312" w:cs="Times New Roman"/>
                <w:bCs/>
                <w:color w:val="000000"/>
                <w:kern w:val="0"/>
                <w:sz w:val="24"/>
                <w:szCs w:val="21"/>
                <w:lang w:val="zh-CN" w:eastAsia="zh-CN" w:bidi="ar-SA"/>
              </w:rPr>
              <w:t>户外安全隐患检查、公共设施设备损坏、异常情况报修</w:t>
            </w:r>
            <w:r>
              <w:rPr>
                <w:rFonts w:hint="eastAsia" w:ascii="Times New Roman" w:hAnsi="Times New Roman" w:eastAsia="仿宋_GB2312" w:cs="Times New Roman"/>
                <w:bCs/>
                <w:color w:val="000000"/>
                <w:kern w:val="0"/>
                <w:sz w:val="24"/>
                <w:szCs w:val="21"/>
                <w:lang w:val="zh-CN" w:eastAsia="zh-CN" w:bidi="ar-SA"/>
              </w:rPr>
              <w:t>；</w:t>
            </w:r>
            <w:r>
              <w:rPr>
                <w:rFonts w:hint="default" w:ascii="Times New Roman" w:hAnsi="Times New Roman" w:eastAsia="仿宋_GB2312" w:cs="Times New Roman"/>
                <w:bCs/>
                <w:color w:val="000000"/>
                <w:kern w:val="0"/>
                <w:sz w:val="24"/>
                <w:szCs w:val="21"/>
                <w:lang w:val="zh-CN" w:eastAsia="zh-CN" w:bidi="ar-SA"/>
              </w:rPr>
              <w:t>其他户外保洁工作</w:t>
            </w:r>
          </w:p>
        </w:tc>
      </w:tr>
      <w:tr>
        <w:tblPrEx>
          <w:tblBorders>
            <w:top w:val="single" w:color="000000" w:sz="8" w:space="0"/>
            <w:left w:val="single" w:color="000000" w:sz="4" w:space="0"/>
            <w:bottom w:val="single" w:color="000000" w:sz="8" w:space="0"/>
            <w:right w:val="single" w:color="000000" w:sz="4" w:space="0"/>
            <w:insideH w:val="single" w:color="000000" w:sz="8" w:space="0"/>
            <w:insideV w:val="single" w:color="000000" w:sz="4" w:space="0"/>
          </w:tblBorders>
          <w:tblCellMar>
            <w:top w:w="0" w:type="dxa"/>
            <w:left w:w="108" w:type="dxa"/>
            <w:bottom w:w="0" w:type="dxa"/>
            <w:right w:w="108" w:type="dxa"/>
          </w:tblCellMar>
        </w:tblPrEx>
        <w:trPr>
          <w:trHeight w:val="20" w:hRule="atLeast"/>
        </w:trPr>
        <w:tc>
          <w:tcPr>
            <w:tcW w:w="830" w:type="pct"/>
            <w:vMerge w:val="restar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安保服务</w:t>
            </w:r>
          </w:p>
        </w:tc>
        <w:tc>
          <w:tcPr>
            <w:tcW w:w="905"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出入口管理（大门岗）</w:t>
            </w:r>
          </w:p>
        </w:tc>
        <w:tc>
          <w:tcPr>
            <w:tcW w:w="3264" w:type="pct"/>
            <w:vAlign w:val="center"/>
          </w:tcPr>
          <w:p>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办公区大门岗的值守及来访人员的报知联系、证件检验、登记；信访人员引导至指定区域并上报。内部车辆凭证通行，外来车辆登记并引导至指定车位，检查后备箱杜绝危险品进入</w:t>
            </w:r>
          </w:p>
        </w:tc>
      </w:tr>
      <w:tr>
        <w:tblPrEx>
          <w:tblBorders>
            <w:top w:val="single" w:color="000000" w:sz="8" w:space="0"/>
            <w:left w:val="single" w:color="000000" w:sz="4" w:space="0"/>
            <w:bottom w:val="single" w:color="000000" w:sz="8" w:space="0"/>
            <w:right w:val="single" w:color="000000" w:sz="4" w:space="0"/>
            <w:insideH w:val="single" w:color="000000" w:sz="8" w:space="0"/>
            <w:insideV w:val="single" w:color="000000" w:sz="4" w:space="0"/>
          </w:tblBorders>
          <w:tblCellMar>
            <w:top w:w="0" w:type="dxa"/>
            <w:left w:w="108" w:type="dxa"/>
            <w:bottom w:w="0" w:type="dxa"/>
            <w:right w:w="108" w:type="dxa"/>
          </w:tblCellMar>
        </w:tblPrEx>
        <w:trPr>
          <w:trHeight w:val="20" w:hRule="atLeast"/>
        </w:trPr>
        <w:tc>
          <w:tcPr>
            <w:tcW w:w="830" w:type="pct"/>
            <w:vMerge w:val="continue"/>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p>
        </w:tc>
        <w:tc>
          <w:tcPr>
            <w:tcW w:w="905"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出入口管理（楼宇岗）</w:t>
            </w:r>
          </w:p>
        </w:tc>
        <w:tc>
          <w:tcPr>
            <w:tcW w:w="3264" w:type="pct"/>
            <w:vAlign w:val="center"/>
          </w:tcPr>
          <w:p>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对楼内安全隐患提醒报修；楼内访客的接待、登记工作</w:t>
            </w:r>
          </w:p>
        </w:tc>
      </w:tr>
      <w:tr>
        <w:tblPrEx>
          <w:tblBorders>
            <w:top w:val="single" w:color="000000" w:sz="8" w:space="0"/>
            <w:left w:val="single" w:color="000000" w:sz="4" w:space="0"/>
            <w:bottom w:val="single" w:color="000000" w:sz="8" w:space="0"/>
            <w:right w:val="single" w:color="000000" w:sz="4" w:space="0"/>
            <w:insideH w:val="single" w:color="000000" w:sz="8" w:space="0"/>
            <w:insideV w:val="single" w:color="000000" w:sz="4" w:space="0"/>
          </w:tblBorders>
          <w:tblCellMar>
            <w:top w:w="0" w:type="dxa"/>
            <w:left w:w="108" w:type="dxa"/>
            <w:bottom w:w="0" w:type="dxa"/>
            <w:right w:w="108" w:type="dxa"/>
          </w:tblCellMar>
        </w:tblPrEx>
        <w:trPr>
          <w:trHeight w:val="20" w:hRule="atLeast"/>
        </w:trPr>
        <w:tc>
          <w:tcPr>
            <w:tcW w:w="830" w:type="pct"/>
            <w:vMerge w:val="continue"/>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p>
        </w:tc>
        <w:tc>
          <w:tcPr>
            <w:tcW w:w="905"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监控中心岗</w:t>
            </w:r>
          </w:p>
        </w:tc>
        <w:tc>
          <w:tcPr>
            <w:tcW w:w="3264" w:type="pct"/>
            <w:vAlign w:val="center"/>
          </w:tcPr>
          <w:p>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负责实时消防监控系统操作，发现异常及时处理，防盗等报警监控运行管理</w:t>
            </w:r>
          </w:p>
        </w:tc>
      </w:tr>
      <w:tr>
        <w:tblPrEx>
          <w:tblBorders>
            <w:top w:val="single" w:color="000000" w:sz="8" w:space="0"/>
            <w:left w:val="single" w:color="000000" w:sz="4" w:space="0"/>
            <w:bottom w:val="single" w:color="000000" w:sz="8" w:space="0"/>
            <w:right w:val="single" w:color="000000" w:sz="4" w:space="0"/>
            <w:insideH w:val="single" w:color="000000" w:sz="8" w:space="0"/>
            <w:insideV w:val="single" w:color="000000" w:sz="4" w:space="0"/>
          </w:tblBorders>
          <w:tblCellMar>
            <w:top w:w="0" w:type="dxa"/>
            <w:left w:w="108" w:type="dxa"/>
            <w:bottom w:w="0" w:type="dxa"/>
            <w:right w:w="108" w:type="dxa"/>
          </w:tblCellMar>
        </w:tblPrEx>
        <w:trPr>
          <w:trHeight w:val="20" w:hRule="atLeast"/>
        </w:trPr>
        <w:tc>
          <w:tcPr>
            <w:tcW w:w="830" w:type="pct"/>
            <w:vMerge w:val="continue"/>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p>
        </w:tc>
        <w:tc>
          <w:tcPr>
            <w:tcW w:w="905"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巡逻</w:t>
            </w:r>
          </w:p>
        </w:tc>
        <w:tc>
          <w:tcPr>
            <w:tcW w:w="3264" w:type="pct"/>
            <w:vAlign w:val="center"/>
          </w:tcPr>
          <w:p>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定时按计划巡查重点区域，记录巡逻情况；根据需求进行夜间巡查，确保安全</w:t>
            </w:r>
          </w:p>
        </w:tc>
      </w:tr>
      <w:tr>
        <w:tblPrEx>
          <w:tblBorders>
            <w:top w:val="single" w:color="000000" w:sz="8" w:space="0"/>
            <w:left w:val="single" w:color="000000" w:sz="4" w:space="0"/>
            <w:bottom w:val="single" w:color="000000" w:sz="8" w:space="0"/>
            <w:right w:val="single" w:color="000000" w:sz="4" w:space="0"/>
            <w:insideH w:val="single" w:color="000000" w:sz="8" w:space="0"/>
            <w:insideV w:val="single" w:color="000000" w:sz="4" w:space="0"/>
          </w:tblBorders>
          <w:tblCellMar>
            <w:top w:w="0" w:type="dxa"/>
            <w:left w:w="108" w:type="dxa"/>
            <w:bottom w:w="0" w:type="dxa"/>
            <w:right w:w="108" w:type="dxa"/>
          </w:tblCellMar>
        </w:tblPrEx>
        <w:trPr>
          <w:trHeight w:val="20" w:hRule="atLeast"/>
        </w:trPr>
        <w:tc>
          <w:tcPr>
            <w:tcW w:w="830"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工勤兼会议服务</w:t>
            </w:r>
          </w:p>
        </w:tc>
        <w:tc>
          <w:tcPr>
            <w:tcW w:w="905"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工勤兼会议服务</w:t>
            </w:r>
          </w:p>
        </w:tc>
        <w:tc>
          <w:tcPr>
            <w:tcW w:w="3264" w:type="pct"/>
            <w:vAlign w:val="center"/>
          </w:tcPr>
          <w:p>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会议服务(会程服务、会场布置、会议室清洁、会议室绿植简单养护等)</w:t>
            </w:r>
            <w:r>
              <w:rPr>
                <w:rFonts w:hint="eastAsia" w:ascii="Times New Roman" w:hAnsi="Times New Roman" w:eastAsia="仿宋_GB2312" w:cs="Times New Roman"/>
                <w:bCs/>
                <w:color w:val="000000"/>
                <w:kern w:val="0"/>
                <w:sz w:val="24"/>
                <w:szCs w:val="21"/>
                <w:lang w:val="zh-CN" w:eastAsia="zh-CN" w:bidi="ar-SA"/>
              </w:rPr>
              <w:t>；</w:t>
            </w:r>
            <w:r>
              <w:rPr>
                <w:rFonts w:hint="default" w:ascii="Times New Roman" w:hAnsi="Times New Roman" w:eastAsia="仿宋_GB2312" w:cs="Times New Roman"/>
                <w:bCs/>
                <w:color w:val="000000"/>
                <w:kern w:val="0"/>
                <w:sz w:val="24"/>
                <w:szCs w:val="21"/>
                <w:lang w:val="zh-CN" w:eastAsia="zh-CN" w:bidi="ar-SA"/>
              </w:rPr>
              <w:t>副处级以上领导办公室服务(卫生清洁、办公用品领用、绿植简单养护等)</w:t>
            </w:r>
            <w:r>
              <w:rPr>
                <w:rFonts w:hint="eastAsia" w:ascii="Times New Roman" w:hAnsi="Times New Roman" w:eastAsia="仿宋_GB2312" w:cs="Times New Roman"/>
                <w:bCs/>
                <w:color w:val="000000"/>
                <w:kern w:val="0"/>
                <w:sz w:val="24"/>
                <w:szCs w:val="21"/>
                <w:lang w:val="zh-CN" w:eastAsia="zh-CN" w:bidi="ar-SA"/>
              </w:rPr>
              <w:t>；</w:t>
            </w:r>
            <w:r>
              <w:rPr>
                <w:rFonts w:hint="default" w:ascii="Times New Roman" w:hAnsi="Times New Roman" w:eastAsia="仿宋_GB2312" w:cs="Times New Roman"/>
                <w:bCs/>
                <w:color w:val="000000"/>
                <w:kern w:val="0"/>
                <w:sz w:val="24"/>
                <w:szCs w:val="21"/>
                <w:lang w:val="zh-CN" w:eastAsia="zh-CN" w:bidi="ar-SA"/>
              </w:rPr>
              <w:t>其他工勤服务（保障技术支持或其他辅助性工作）</w:t>
            </w:r>
          </w:p>
        </w:tc>
      </w:tr>
      <w:tr>
        <w:tblPrEx>
          <w:tblBorders>
            <w:top w:val="single" w:color="000000" w:sz="8" w:space="0"/>
            <w:left w:val="single" w:color="000000" w:sz="4" w:space="0"/>
            <w:bottom w:val="single" w:color="000000" w:sz="8" w:space="0"/>
            <w:right w:val="single" w:color="000000" w:sz="4" w:space="0"/>
            <w:insideH w:val="single" w:color="000000" w:sz="8" w:space="0"/>
            <w:insideV w:val="single" w:color="000000" w:sz="4" w:space="0"/>
          </w:tblBorders>
          <w:tblCellMar>
            <w:top w:w="0" w:type="dxa"/>
            <w:left w:w="108" w:type="dxa"/>
            <w:bottom w:w="0" w:type="dxa"/>
            <w:right w:w="108" w:type="dxa"/>
          </w:tblCellMar>
        </w:tblPrEx>
        <w:trPr>
          <w:trHeight w:val="20" w:hRule="atLeast"/>
        </w:trPr>
        <w:tc>
          <w:tcPr>
            <w:tcW w:w="830"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绿化服务</w:t>
            </w:r>
          </w:p>
        </w:tc>
        <w:tc>
          <w:tcPr>
            <w:tcW w:w="905"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绿化养护</w:t>
            </w:r>
          </w:p>
        </w:tc>
        <w:tc>
          <w:tcPr>
            <w:tcW w:w="3264" w:type="pct"/>
            <w:vAlign w:val="center"/>
          </w:tcPr>
          <w:p>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对绿化景观进行修剪、浇水、拔草、复壮、施肥、病虫害防治及局部景观提升等常规养护工作</w:t>
            </w:r>
            <w:r>
              <w:rPr>
                <w:rFonts w:hint="eastAsia" w:ascii="Times New Roman" w:hAnsi="Times New Roman" w:eastAsia="仿宋_GB2312" w:cs="Times New Roman"/>
                <w:bCs/>
                <w:color w:val="000000"/>
                <w:kern w:val="0"/>
                <w:sz w:val="24"/>
                <w:szCs w:val="21"/>
                <w:lang w:val="zh-CN" w:eastAsia="zh-CN" w:bidi="ar-SA"/>
              </w:rPr>
              <w:t>；</w:t>
            </w:r>
            <w:r>
              <w:rPr>
                <w:rFonts w:hint="default" w:ascii="Times New Roman" w:hAnsi="Times New Roman" w:eastAsia="仿宋_GB2312" w:cs="Times New Roman"/>
                <w:bCs/>
                <w:color w:val="000000"/>
                <w:kern w:val="0"/>
                <w:sz w:val="24"/>
                <w:szCs w:val="21"/>
                <w:lang w:val="zh-CN" w:eastAsia="zh-CN" w:bidi="ar-SA"/>
              </w:rPr>
              <w:t>日常绿植养护巡查、防火巡查等</w:t>
            </w:r>
          </w:p>
        </w:tc>
      </w:tr>
      <w:tr>
        <w:tblPrEx>
          <w:tblBorders>
            <w:top w:val="single" w:color="000000" w:sz="8" w:space="0"/>
            <w:left w:val="single" w:color="000000" w:sz="4" w:space="0"/>
            <w:bottom w:val="single" w:color="000000" w:sz="8" w:space="0"/>
            <w:right w:val="single" w:color="000000" w:sz="4" w:space="0"/>
            <w:insideH w:val="single" w:color="000000" w:sz="8" w:space="0"/>
            <w:insideV w:val="single" w:color="000000" w:sz="4" w:space="0"/>
          </w:tblBorders>
          <w:tblCellMar>
            <w:top w:w="0" w:type="dxa"/>
            <w:left w:w="108" w:type="dxa"/>
            <w:bottom w:w="0" w:type="dxa"/>
            <w:right w:w="108" w:type="dxa"/>
          </w:tblCellMar>
        </w:tblPrEx>
        <w:trPr>
          <w:trHeight w:val="20" w:hRule="atLeast"/>
        </w:trPr>
        <w:tc>
          <w:tcPr>
            <w:tcW w:w="830"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餐饮服务</w:t>
            </w:r>
          </w:p>
        </w:tc>
        <w:tc>
          <w:tcPr>
            <w:tcW w:w="905"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餐饮服务</w:t>
            </w:r>
          </w:p>
        </w:tc>
        <w:tc>
          <w:tcPr>
            <w:tcW w:w="3264" w:type="pct"/>
            <w:vAlign w:val="center"/>
          </w:tcPr>
          <w:p>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餐厅的食材加工、餐饮供应服务</w:t>
            </w:r>
            <w:r>
              <w:rPr>
                <w:rFonts w:hint="eastAsia" w:ascii="Times New Roman" w:hAnsi="Times New Roman" w:eastAsia="仿宋_GB2312" w:cs="Times New Roman"/>
                <w:bCs/>
                <w:color w:val="000000"/>
                <w:kern w:val="0"/>
                <w:sz w:val="24"/>
                <w:szCs w:val="21"/>
                <w:lang w:val="zh-CN" w:eastAsia="zh-CN" w:bidi="ar-SA"/>
              </w:rPr>
              <w:t>；</w:t>
            </w:r>
            <w:r>
              <w:rPr>
                <w:rFonts w:hint="default" w:ascii="Times New Roman" w:hAnsi="Times New Roman" w:eastAsia="仿宋_GB2312" w:cs="Times New Roman"/>
                <w:bCs/>
                <w:color w:val="000000"/>
                <w:kern w:val="0"/>
                <w:sz w:val="24"/>
                <w:szCs w:val="21"/>
                <w:lang w:val="zh-CN" w:eastAsia="zh-CN" w:bidi="ar-SA"/>
              </w:rPr>
              <w:t>餐厅设施设备的维护</w:t>
            </w:r>
            <w:r>
              <w:rPr>
                <w:rFonts w:hint="eastAsia" w:ascii="Times New Roman" w:hAnsi="Times New Roman" w:eastAsia="仿宋_GB2312" w:cs="Times New Roman"/>
                <w:bCs/>
                <w:color w:val="000000"/>
                <w:kern w:val="0"/>
                <w:sz w:val="24"/>
                <w:szCs w:val="21"/>
                <w:lang w:val="zh-CN" w:eastAsia="zh-CN" w:bidi="ar-SA"/>
              </w:rPr>
              <w:t>；</w:t>
            </w:r>
            <w:r>
              <w:rPr>
                <w:rFonts w:hint="default" w:ascii="Times New Roman" w:hAnsi="Times New Roman" w:eastAsia="仿宋_GB2312" w:cs="Times New Roman"/>
                <w:bCs/>
                <w:color w:val="000000"/>
                <w:kern w:val="0"/>
                <w:sz w:val="24"/>
                <w:szCs w:val="21"/>
                <w:lang w:val="zh-CN" w:eastAsia="zh-CN" w:bidi="ar-SA"/>
              </w:rPr>
              <w:t>餐厅及三包区域的卫生清洁工作</w:t>
            </w:r>
          </w:p>
        </w:tc>
      </w:tr>
    </w:tbl>
    <w:p>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left="1000" w:hanging="440" w:firstLineChars="0"/>
        <w:jc w:val="both"/>
        <w:textAlignment w:val="auto"/>
        <w:rPr>
          <w:rFonts w:hint="eastAsia" w:ascii="楷体_GB2312" w:hAnsi="楷体_GB2312" w:eastAsia="楷体_GB2312" w:cs="楷体_GB2312"/>
          <w:kern w:val="0"/>
          <w:sz w:val="32"/>
          <w:szCs w:val="32"/>
          <w:lang w:val="zh-CN" w:eastAsia="zh-CN" w:bidi="ar-SA"/>
        </w:rPr>
      </w:pPr>
      <w:r>
        <w:rPr>
          <w:rFonts w:hint="eastAsia" w:ascii="楷体_GB2312" w:hAnsi="楷体_GB2312" w:eastAsia="楷体_GB2312" w:cs="楷体_GB2312"/>
          <w:kern w:val="0"/>
          <w:sz w:val="32"/>
          <w:szCs w:val="32"/>
          <w:lang w:val="zh-CN" w:eastAsia="zh-CN" w:bidi="ar-SA"/>
        </w:rPr>
        <w:t>项目预算构成及标准</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zh-CN" w:eastAsia="zh-CN" w:bidi="ar-SA"/>
        </w:rPr>
        <w:t>根据相关政策要求结合市场行情形成的和林格尔县物业管理服务通用支出标准调研报告，物业管理支出标准具体详见下表：</w:t>
      </w:r>
    </w:p>
    <w:p>
      <w:pPr>
        <w:widowControl w:val="0"/>
        <w:spacing w:before="60" w:after="60"/>
        <w:jc w:val="center"/>
        <w:rPr>
          <w:rFonts w:ascii="Times New Roman" w:hAnsi="Times New Roman" w:eastAsia="仿宋_GB2312" w:cs="Times New Roman"/>
          <w:b/>
          <w:kern w:val="0"/>
          <w:sz w:val="28"/>
          <w:szCs w:val="32"/>
          <w:lang w:val="en-US" w:eastAsia="zh-CN" w:bidi="ar-SA"/>
        </w:rPr>
      </w:pPr>
      <w:r>
        <w:rPr>
          <w:rFonts w:hint="eastAsia" w:ascii="Times New Roman" w:hAnsi="Times New Roman" w:eastAsia="仿宋_GB2312" w:cs="Times New Roman"/>
          <w:b/>
          <w:kern w:val="0"/>
          <w:sz w:val="28"/>
          <w:szCs w:val="32"/>
          <w:lang w:val="en-US" w:eastAsia="zh-CN" w:bidi="ar-SA"/>
        </w:rPr>
        <w:t>表3</w:t>
      </w:r>
      <w:r>
        <w:rPr>
          <w:rFonts w:ascii="Times New Roman" w:hAnsi="Times New Roman" w:eastAsia="仿宋_GB2312" w:cs="Times New Roman"/>
          <w:b/>
          <w:kern w:val="0"/>
          <w:sz w:val="28"/>
          <w:szCs w:val="32"/>
          <w:lang w:val="en-US" w:eastAsia="zh-CN" w:bidi="ar-SA"/>
        </w:rPr>
        <w:t>-</w:t>
      </w:r>
      <w:r>
        <w:rPr>
          <w:rFonts w:hint="eastAsia" w:ascii="Times New Roman" w:hAnsi="Times New Roman" w:eastAsia="仿宋_GB2312" w:cs="Times New Roman"/>
          <w:b/>
          <w:kern w:val="0"/>
          <w:sz w:val="28"/>
          <w:szCs w:val="32"/>
          <w:lang w:val="en-US" w:eastAsia="zh-CN" w:bidi="ar-SA"/>
        </w:rPr>
        <w:t>2 和林格尔县物业管理支出标准</w:t>
      </w:r>
    </w:p>
    <w:tbl>
      <w:tblPr>
        <w:tblStyle w:val="18"/>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80"/>
        <w:gridCol w:w="1180"/>
        <w:gridCol w:w="1782"/>
        <w:gridCol w:w="1591"/>
        <w:gridCol w:w="1578"/>
        <w:gridCol w:w="175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619" w:type="pct"/>
            <w:vMerge w:val="restart"/>
            <w:shd w:val="clear" w:color="auto" w:fill="D7D7D7" w:themeFill="background1" w:themeFillShade="D8"/>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
                <w:bCs w:val="0"/>
                <w:color w:val="000000"/>
                <w:kern w:val="0"/>
                <w:sz w:val="24"/>
                <w:szCs w:val="21"/>
                <w:lang w:val="zh-CN" w:eastAsia="zh-CN" w:bidi="ar-SA"/>
              </w:rPr>
            </w:pPr>
            <w:r>
              <w:rPr>
                <w:rFonts w:hint="eastAsia" w:ascii="Times New Roman" w:hAnsi="Times New Roman" w:eastAsia="仿宋_GB2312" w:cs="Times New Roman"/>
                <w:b/>
                <w:bCs w:val="0"/>
                <w:color w:val="000000"/>
                <w:kern w:val="0"/>
                <w:sz w:val="24"/>
                <w:szCs w:val="21"/>
                <w:lang w:val="zh-CN" w:eastAsia="zh-CN" w:bidi="ar-SA"/>
              </w:rPr>
              <w:t>一级项目</w:t>
            </w:r>
          </w:p>
        </w:tc>
        <w:tc>
          <w:tcPr>
            <w:tcW w:w="619" w:type="pct"/>
            <w:vMerge w:val="restart"/>
            <w:shd w:val="clear" w:color="auto" w:fill="D7D7D7" w:themeFill="background1" w:themeFillShade="D8"/>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
                <w:bCs w:val="0"/>
                <w:color w:val="000000"/>
                <w:kern w:val="0"/>
                <w:sz w:val="24"/>
                <w:szCs w:val="21"/>
                <w:lang w:val="zh-CN" w:eastAsia="zh-CN" w:bidi="ar-SA"/>
              </w:rPr>
            </w:pPr>
            <w:r>
              <w:rPr>
                <w:rFonts w:hint="eastAsia" w:ascii="Times New Roman" w:hAnsi="Times New Roman" w:eastAsia="仿宋_GB2312" w:cs="Times New Roman"/>
                <w:b/>
                <w:bCs w:val="0"/>
                <w:color w:val="000000"/>
                <w:kern w:val="0"/>
                <w:sz w:val="24"/>
                <w:szCs w:val="21"/>
                <w:lang w:val="zh-CN" w:eastAsia="zh-CN" w:bidi="ar-SA"/>
              </w:rPr>
              <w:t>二级项目</w:t>
            </w:r>
          </w:p>
        </w:tc>
        <w:tc>
          <w:tcPr>
            <w:tcW w:w="1234" w:type="pct"/>
            <w:vMerge w:val="restart"/>
            <w:shd w:val="clear" w:color="auto" w:fill="D7D7D7" w:themeFill="background1" w:themeFillShade="D8"/>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
                <w:bCs w:val="0"/>
                <w:color w:val="000000"/>
                <w:kern w:val="0"/>
                <w:sz w:val="24"/>
                <w:szCs w:val="21"/>
                <w:lang w:val="zh-CN" w:eastAsia="zh-CN" w:bidi="ar-SA"/>
              </w:rPr>
            </w:pPr>
            <w:r>
              <w:rPr>
                <w:rFonts w:hint="eastAsia" w:ascii="Times New Roman" w:hAnsi="Times New Roman" w:eastAsia="仿宋_GB2312" w:cs="Times New Roman"/>
                <w:b/>
                <w:bCs w:val="0"/>
                <w:color w:val="000000"/>
                <w:kern w:val="0"/>
                <w:sz w:val="24"/>
                <w:szCs w:val="21"/>
                <w:lang w:val="zh-CN" w:eastAsia="zh-CN" w:bidi="ar-SA"/>
              </w:rPr>
              <w:t>三级项目</w:t>
            </w:r>
          </w:p>
        </w:tc>
        <w:tc>
          <w:tcPr>
            <w:tcW w:w="2528" w:type="pct"/>
            <w:gridSpan w:val="3"/>
            <w:shd w:val="clear" w:color="auto" w:fill="D7D7D7" w:themeFill="background1" w:themeFillShade="D8"/>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
                <w:bCs w:val="0"/>
                <w:color w:val="000000"/>
                <w:kern w:val="0"/>
                <w:sz w:val="24"/>
                <w:szCs w:val="21"/>
                <w:lang w:val="zh-CN" w:eastAsia="zh-CN" w:bidi="ar-SA"/>
              </w:rPr>
            </w:pPr>
            <w:r>
              <w:rPr>
                <w:rFonts w:hint="eastAsia" w:ascii="Times New Roman" w:hAnsi="Times New Roman" w:eastAsia="仿宋_GB2312" w:cs="Times New Roman"/>
                <w:b/>
                <w:bCs w:val="0"/>
                <w:color w:val="000000"/>
                <w:kern w:val="0"/>
                <w:sz w:val="24"/>
                <w:szCs w:val="21"/>
                <w:lang w:val="zh-CN" w:eastAsia="zh-CN" w:bidi="ar-SA"/>
              </w:rPr>
              <w:t>支出标准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619" w:type="pct"/>
            <w:vMerge w:val="continue"/>
            <w:shd w:val="clear" w:color="auto" w:fill="D7D7D7" w:themeFill="background1" w:themeFillShade="D8"/>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
                <w:bCs w:val="0"/>
                <w:color w:val="000000"/>
                <w:kern w:val="0"/>
                <w:sz w:val="24"/>
                <w:szCs w:val="21"/>
                <w:lang w:val="zh-CN" w:eastAsia="zh-CN" w:bidi="ar-SA"/>
              </w:rPr>
            </w:pPr>
          </w:p>
        </w:tc>
        <w:tc>
          <w:tcPr>
            <w:tcW w:w="619" w:type="pct"/>
            <w:vMerge w:val="continue"/>
            <w:shd w:val="clear" w:color="auto" w:fill="D7D7D7" w:themeFill="background1" w:themeFillShade="D8"/>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
                <w:bCs w:val="0"/>
                <w:color w:val="000000"/>
                <w:kern w:val="0"/>
                <w:sz w:val="24"/>
                <w:szCs w:val="21"/>
                <w:lang w:val="zh-CN" w:eastAsia="zh-CN" w:bidi="ar-SA"/>
              </w:rPr>
            </w:pPr>
          </w:p>
        </w:tc>
        <w:tc>
          <w:tcPr>
            <w:tcW w:w="1234" w:type="pct"/>
            <w:vMerge w:val="continue"/>
            <w:shd w:val="clear" w:color="auto" w:fill="D7D7D7" w:themeFill="background1" w:themeFillShade="D8"/>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
                <w:bCs w:val="0"/>
                <w:color w:val="000000"/>
                <w:kern w:val="0"/>
                <w:sz w:val="24"/>
                <w:szCs w:val="21"/>
                <w:lang w:val="zh-CN" w:eastAsia="zh-CN" w:bidi="ar-SA"/>
              </w:rPr>
            </w:pPr>
          </w:p>
        </w:tc>
        <w:tc>
          <w:tcPr>
            <w:tcW w:w="758" w:type="pct"/>
            <w:shd w:val="clear" w:color="auto" w:fill="D7D7D7" w:themeFill="background1" w:themeFillShade="D8"/>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
                <w:bCs w:val="0"/>
                <w:color w:val="000000"/>
                <w:kern w:val="0"/>
                <w:sz w:val="24"/>
                <w:szCs w:val="21"/>
                <w:lang w:val="zh-CN" w:eastAsia="zh-CN" w:bidi="ar-SA"/>
              </w:rPr>
            </w:pPr>
            <w:r>
              <w:rPr>
                <w:rFonts w:hint="eastAsia" w:ascii="Times New Roman" w:hAnsi="Times New Roman" w:eastAsia="仿宋_GB2312" w:cs="Times New Roman"/>
                <w:b/>
                <w:bCs w:val="0"/>
                <w:color w:val="000000"/>
                <w:kern w:val="0"/>
                <w:sz w:val="24"/>
                <w:szCs w:val="21"/>
                <w:lang w:val="zh-CN" w:eastAsia="zh-CN" w:bidi="ar-SA"/>
              </w:rPr>
              <w:t>支出标准</w:t>
            </w:r>
          </w:p>
        </w:tc>
        <w:tc>
          <w:tcPr>
            <w:tcW w:w="840" w:type="pct"/>
            <w:shd w:val="clear" w:color="auto" w:fill="D7D7D7" w:themeFill="background1" w:themeFillShade="D8"/>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
                <w:bCs w:val="0"/>
                <w:color w:val="000000"/>
                <w:kern w:val="0"/>
                <w:sz w:val="24"/>
                <w:szCs w:val="21"/>
                <w:lang w:val="zh-CN" w:eastAsia="zh-CN" w:bidi="ar-SA"/>
              </w:rPr>
            </w:pPr>
            <w:r>
              <w:rPr>
                <w:rFonts w:hint="eastAsia" w:ascii="Times New Roman" w:hAnsi="Times New Roman" w:eastAsia="仿宋_GB2312" w:cs="Times New Roman"/>
                <w:b/>
                <w:bCs w:val="0"/>
                <w:color w:val="000000"/>
                <w:kern w:val="0"/>
                <w:sz w:val="24"/>
                <w:szCs w:val="21"/>
                <w:lang w:val="zh-CN" w:eastAsia="zh-CN" w:bidi="ar-SA"/>
              </w:rPr>
              <w:t>单位</w:t>
            </w:r>
          </w:p>
        </w:tc>
        <w:tc>
          <w:tcPr>
            <w:tcW w:w="930" w:type="pct"/>
            <w:shd w:val="clear" w:color="auto" w:fill="D7D7D7" w:themeFill="background1" w:themeFillShade="D8"/>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
                <w:bCs w:val="0"/>
                <w:color w:val="000000"/>
                <w:kern w:val="0"/>
                <w:sz w:val="24"/>
                <w:szCs w:val="21"/>
                <w:lang w:val="zh-CN" w:eastAsia="zh-CN" w:bidi="ar-SA"/>
              </w:rPr>
            </w:pPr>
            <w:r>
              <w:rPr>
                <w:rFonts w:hint="eastAsia" w:ascii="Times New Roman" w:hAnsi="Times New Roman" w:eastAsia="仿宋_GB2312" w:cs="Times New Roman"/>
                <w:b/>
                <w:bCs w:val="0"/>
                <w:color w:val="000000"/>
                <w:kern w:val="0"/>
                <w:sz w:val="24"/>
                <w:szCs w:val="21"/>
                <w:lang w:val="zh-CN" w:eastAsia="zh-CN" w:bidi="ar-SA"/>
              </w:rPr>
              <w:t>控总额</w:t>
            </w:r>
            <w:r>
              <w:rPr>
                <w:rFonts w:hint="default" w:ascii="Times New Roman" w:hAnsi="Times New Roman" w:eastAsia="仿宋_GB2312" w:cs="Times New Roman"/>
                <w:b/>
                <w:bCs w:val="0"/>
                <w:color w:val="000000"/>
                <w:kern w:val="0"/>
                <w:sz w:val="24"/>
                <w:szCs w:val="21"/>
                <w:lang w:val="zh-CN" w:eastAsia="zh-CN" w:bidi="ar-SA"/>
              </w:rPr>
              <w:t>/</w:t>
            </w:r>
            <w:r>
              <w:rPr>
                <w:rFonts w:hint="eastAsia" w:ascii="Times New Roman" w:hAnsi="Times New Roman" w:eastAsia="仿宋_GB2312" w:cs="Times New Roman"/>
                <w:b/>
                <w:bCs w:val="0"/>
                <w:color w:val="000000"/>
                <w:kern w:val="0"/>
                <w:sz w:val="24"/>
                <w:szCs w:val="21"/>
                <w:lang w:val="zh-CN" w:eastAsia="zh-CN" w:bidi="ar-SA"/>
              </w:rPr>
              <w:t>控单价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619" w:type="pct"/>
            <w:vMerge w:val="restar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物业服务支出</w:t>
            </w:r>
          </w:p>
        </w:tc>
        <w:tc>
          <w:tcPr>
            <w:tcW w:w="619" w:type="pct"/>
            <w:vMerge w:val="restar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保洁服务</w:t>
            </w:r>
          </w:p>
        </w:tc>
        <w:tc>
          <w:tcPr>
            <w:tcW w:w="1234"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楼内保洁</w:t>
            </w:r>
          </w:p>
        </w:tc>
        <w:tc>
          <w:tcPr>
            <w:tcW w:w="758"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2.</w:t>
            </w:r>
            <w:r>
              <w:rPr>
                <w:rFonts w:hint="eastAsia" w:ascii="Times New Roman" w:hAnsi="Times New Roman" w:eastAsia="仿宋_GB2312" w:cs="Times New Roman"/>
                <w:bCs/>
                <w:color w:val="000000"/>
                <w:kern w:val="0"/>
                <w:sz w:val="24"/>
                <w:szCs w:val="21"/>
                <w:lang w:val="zh-CN" w:eastAsia="zh-CN" w:bidi="ar-SA"/>
              </w:rPr>
              <w:t>02</w:t>
            </w:r>
          </w:p>
        </w:tc>
        <w:tc>
          <w:tcPr>
            <w:tcW w:w="840"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元/平方米/月</w:t>
            </w:r>
          </w:p>
        </w:tc>
        <w:tc>
          <w:tcPr>
            <w:tcW w:w="930"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控单价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619" w:type="pct"/>
            <w:vMerge w:val="continue"/>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p>
        </w:tc>
        <w:tc>
          <w:tcPr>
            <w:tcW w:w="619" w:type="pct"/>
            <w:vMerge w:val="continue"/>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p>
        </w:tc>
        <w:tc>
          <w:tcPr>
            <w:tcW w:w="1234"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户外保洁</w:t>
            </w:r>
          </w:p>
        </w:tc>
        <w:tc>
          <w:tcPr>
            <w:tcW w:w="758"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0.</w:t>
            </w:r>
            <w:r>
              <w:rPr>
                <w:rFonts w:hint="eastAsia" w:ascii="Times New Roman" w:hAnsi="Times New Roman" w:eastAsia="仿宋_GB2312" w:cs="Times New Roman"/>
                <w:bCs/>
                <w:color w:val="000000"/>
                <w:kern w:val="0"/>
                <w:sz w:val="24"/>
                <w:szCs w:val="21"/>
                <w:lang w:val="zh-CN" w:eastAsia="zh-CN" w:bidi="ar-SA"/>
              </w:rPr>
              <w:t>46</w:t>
            </w:r>
          </w:p>
        </w:tc>
        <w:tc>
          <w:tcPr>
            <w:tcW w:w="840"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元/平方米/月</w:t>
            </w:r>
          </w:p>
        </w:tc>
        <w:tc>
          <w:tcPr>
            <w:tcW w:w="930"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控单价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619" w:type="pct"/>
            <w:vMerge w:val="continue"/>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p>
        </w:tc>
        <w:tc>
          <w:tcPr>
            <w:tcW w:w="619" w:type="pct"/>
            <w:vMerge w:val="restar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安保服务</w:t>
            </w:r>
          </w:p>
        </w:tc>
        <w:tc>
          <w:tcPr>
            <w:tcW w:w="1234"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eastAsia"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出入口管理</w:t>
            </w:r>
          </w:p>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（大门岗）</w:t>
            </w:r>
          </w:p>
        </w:tc>
        <w:tc>
          <w:tcPr>
            <w:tcW w:w="758"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142,302.00</w:t>
            </w:r>
          </w:p>
        </w:tc>
        <w:tc>
          <w:tcPr>
            <w:tcW w:w="840"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元/年/个</w:t>
            </w:r>
          </w:p>
        </w:tc>
        <w:tc>
          <w:tcPr>
            <w:tcW w:w="930"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控总额/控单价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619" w:type="pct"/>
            <w:vMerge w:val="continue"/>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p>
        </w:tc>
        <w:tc>
          <w:tcPr>
            <w:tcW w:w="619" w:type="pct"/>
            <w:vMerge w:val="continue"/>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p>
        </w:tc>
        <w:tc>
          <w:tcPr>
            <w:tcW w:w="1234"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eastAsia"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出入口管理</w:t>
            </w:r>
          </w:p>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（楼宇岗）</w:t>
            </w:r>
          </w:p>
        </w:tc>
        <w:tc>
          <w:tcPr>
            <w:tcW w:w="758"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94,868.00</w:t>
            </w:r>
          </w:p>
        </w:tc>
        <w:tc>
          <w:tcPr>
            <w:tcW w:w="840"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元/年/个</w:t>
            </w:r>
          </w:p>
        </w:tc>
        <w:tc>
          <w:tcPr>
            <w:tcW w:w="930"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控总额/控单价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619" w:type="pct"/>
            <w:vMerge w:val="continue"/>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p>
        </w:tc>
        <w:tc>
          <w:tcPr>
            <w:tcW w:w="619" w:type="pct"/>
            <w:vMerge w:val="continue"/>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p>
        </w:tc>
        <w:tc>
          <w:tcPr>
            <w:tcW w:w="1234"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监控中心岗</w:t>
            </w:r>
          </w:p>
        </w:tc>
        <w:tc>
          <w:tcPr>
            <w:tcW w:w="758"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94,868.00</w:t>
            </w:r>
          </w:p>
        </w:tc>
        <w:tc>
          <w:tcPr>
            <w:tcW w:w="840"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元/年/班次</w:t>
            </w:r>
          </w:p>
        </w:tc>
        <w:tc>
          <w:tcPr>
            <w:tcW w:w="930"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控总额</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619" w:type="pct"/>
            <w:vMerge w:val="continue"/>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p>
        </w:tc>
        <w:tc>
          <w:tcPr>
            <w:tcW w:w="619" w:type="pct"/>
            <w:vMerge w:val="continue"/>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p>
        </w:tc>
        <w:tc>
          <w:tcPr>
            <w:tcW w:w="1234"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巡逻</w:t>
            </w:r>
          </w:p>
        </w:tc>
        <w:tc>
          <w:tcPr>
            <w:tcW w:w="758"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default" w:ascii="Times New Roman" w:hAnsi="Times New Roman" w:eastAsia="仿宋_GB2312" w:cs="Times New Roman"/>
                <w:bCs/>
                <w:color w:val="000000"/>
                <w:kern w:val="0"/>
                <w:sz w:val="24"/>
                <w:szCs w:val="21"/>
                <w:lang w:val="zh-CN" w:eastAsia="zh-CN" w:bidi="ar-SA"/>
              </w:rPr>
              <w:t>5.10</w:t>
            </w:r>
          </w:p>
        </w:tc>
        <w:tc>
          <w:tcPr>
            <w:tcW w:w="840"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元/平方米/年</w:t>
            </w:r>
          </w:p>
        </w:tc>
        <w:tc>
          <w:tcPr>
            <w:tcW w:w="930"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控单价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619" w:type="pct"/>
            <w:vMerge w:val="continue"/>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p>
        </w:tc>
        <w:tc>
          <w:tcPr>
            <w:tcW w:w="619"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eastAsia"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工勤兼</w:t>
            </w:r>
          </w:p>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会议服务</w:t>
            </w:r>
          </w:p>
        </w:tc>
        <w:tc>
          <w:tcPr>
            <w:tcW w:w="1234"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eastAsia"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工勤兼</w:t>
            </w:r>
          </w:p>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会议服务</w:t>
            </w:r>
          </w:p>
        </w:tc>
        <w:tc>
          <w:tcPr>
            <w:tcW w:w="758"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8</w:t>
            </w:r>
            <w:r>
              <w:rPr>
                <w:rFonts w:hint="default" w:ascii="Times New Roman" w:hAnsi="Times New Roman" w:eastAsia="仿宋_GB2312" w:cs="Times New Roman"/>
                <w:bCs/>
                <w:color w:val="000000"/>
                <w:kern w:val="0"/>
                <w:sz w:val="24"/>
                <w:szCs w:val="21"/>
                <w:lang w:val="zh-CN" w:eastAsia="zh-CN" w:bidi="ar-SA"/>
              </w:rPr>
              <w:t>.00</w:t>
            </w:r>
          </w:p>
        </w:tc>
        <w:tc>
          <w:tcPr>
            <w:tcW w:w="840"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元/平方米/月</w:t>
            </w:r>
          </w:p>
        </w:tc>
        <w:tc>
          <w:tcPr>
            <w:tcW w:w="930"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控单价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619" w:type="pct"/>
            <w:vMerge w:val="continue"/>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p>
        </w:tc>
        <w:tc>
          <w:tcPr>
            <w:tcW w:w="619"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绿化服务</w:t>
            </w:r>
          </w:p>
        </w:tc>
        <w:tc>
          <w:tcPr>
            <w:tcW w:w="1234"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绿化养护</w:t>
            </w:r>
          </w:p>
        </w:tc>
        <w:tc>
          <w:tcPr>
            <w:tcW w:w="758"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39</w:t>
            </w:r>
            <w:r>
              <w:rPr>
                <w:rFonts w:hint="default" w:ascii="Times New Roman" w:hAnsi="Times New Roman" w:eastAsia="仿宋_GB2312" w:cs="Times New Roman"/>
                <w:bCs/>
                <w:color w:val="000000"/>
                <w:kern w:val="0"/>
                <w:sz w:val="24"/>
                <w:szCs w:val="21"/>
                <w:lang w:val="zh-CN" w:eastAsia="zh-CN" w:bidi="ar-SA"/>
              </w:rPr>
              <w:t>,000.00</w:t>
            </w:r>
          </w:p>
        </w:tc>
        <w:tc>
          <w:tcPr>
            <w:tcW w:w="840"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元/年</w:t>
            </w:r>
          </w:p>
        </w:tc>
        <w:tc>
          <w:tcPr>
            <w:tcW w:w="930"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控总额</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619" w:type="pct"/>
            <w:vMerge w:val="continue"/>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p>
        </w:tc>
        <w:tc>
          <w:tcPr>
            <w:tcW w:w="619"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餐饮服务</w:t>
            </w:r>
          </w:p>
        </w:tc>
        <w:tc>
          <w:tcPr>
            <w:tcW w:w="1234" w:type="pct"/>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餐饮服务</w:t>
            </w:r>
          </w:p>
        </w:tc>
        <w:tc>
          <w:tcPr>
            <w:tcW w:w="758"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53</w:t>
            </w:r>
            <w:r>
              <w:rPr>
                <w:rFonts w:hint="default" w:ascii="Times New Roman" w:hAnsi="Times New Roman" w:eastAsia="仿宋_GB2312" w:cs="Times New Roman"/>
                <w:bCs/>
                <w:color w:val="000000"/>
                <w:kern w:val="0"/>
                <w:sz w:val="24"/>
                <w:szCs w:val="21"/>
                <w:lang w:val="zh-CN" w:eastAsia="zh-CN" w:bidi="ar-SA"/>
              </w:rPr>
              <w:t>.</w:t>
            </w:r>
            <w:r>
              <w:rPr>
                <w:rFonts w:hint="eastAsia" w:ascii="Times New Roman" w:hAnsi="Times New Roman" w:eastAsia="仿宋_GB2312" w:cs="Times New Roman"/>
                <w:bCs/>
                <w:color w:val="000000"/>
                <w:kern w:val="0"/>
                <w:sz w:val="24"/>
                <w:szCs w:val="21"/>
                <w:lang w:val="zh-CN" w:eastAsia="zh-CN" w:bidi="ar-SA"/>
              </w:rPr>
              <w:t>21</w:t>
            </w:r>
          </w:p>
        </w:tc>
        <w:tc>
          <w:tcPr>
            <w:tcW w:w="840"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元/人/日</w:t>
            </w:r>
          </w:p>
        </w:tc>
        <w:tc>
          <w:tcPr>
            <w:tcW w:w="930" w:type="pct"/>
            <w:noWrap/>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bCs/>
                <w:color w:val="000000"/>
                <w:kern w:val="0"/>
                <w:sz w:val="24"/>
                <w:szCs w:val="21"/>
                <w:lang w:val="zh-CN" w:eastAsia="zh-CN" w:bidi="ar-SA"/>
              </w:rPr>
            </w:pPr>
            <w:r>
              <w:rPr>
                <w:rFonts w:hint="eastAsia" w:ascii="Times New Roman" w:hAnsi="Times New Roman" w:eastAsia="仿宋_GB2312" w:cs="Times New Roman"/>
                <w:bCs/>
                <w:color w:val="000000"/>
                <w:kern w:val="0"/>
                <w:sz w:val="24"/>
                <w:szCs w:val="21"/>
                <w:lang w:val="zh-CN" w:eastAsia="zh-CN" w:bidi="ar-SA"/>
              </w:rPr>
              <w:t>控单价</w:t>
            </w:r>
          </w:p>
        </w:tc>
      </w:tr>
    </w:tbl>
    <w:p>
      <w:pPr>
        <w:keepNext w:val="0"/>
        <w:keepLines w:val="0"/>
        <w:pageBreakBefore w:val="0"/>
        <w:widowControl w:val="0"/>
        <w:numPr>
          <w:ilvl w:val="0"/>
          <w:numId w:val="0"/>
        </w:numPr>
        <w:kinsoku/>
        <w:wordWrap/>
        <w:overflowPunct/>
        <w:topLinePunct w:val="0"/>
        <w:autoSpaceDE/>
        <w:autoSpaceDN/>
        <w:bidi w:val="0"/>
        <w:adjustRightInd w:val="0"/>
        <w:snapToGrid/>
        <w:spacing w:before="120" w:after="60" w:line="480" w:lineRule="exact"/>
        <w:ind w:firstLine="720" w:firstLineChars="200"/>
        <w:jc w:val="left"/>
        <w:textAlignment w:val="auto"/>
        <w:outlineLvl w:val="0"/>
        <w:rPr>
          <w:rFonts w:ascii="Times New Roman" w:hAnsi="Times New Roman" w:eastAsia="黑体" w:cs="Times New Roman"/>
          <w:bCs/>
          <w:kern w:val="44"/>
          <w:sz w:val="36"/>
          <w:szCs w:val="48"/>
          <w:lang w:val="zh-CN" w:eastAsia="zh-CN" w:bidi="ar-SA"/>
        </w:rPr>
      </w:pPr>
      <w:r>
        <w:rPr>
          <w:rFonts w:hint="eastAsia" w:ascii="Times New Roman" w:hAnsi="Times New Roman" w:eastAsia="黑体" w:cs="Times New Roman"/>
          <w:bCs/>
          <w:kern w:val="44"/>
          <w:sz w:val="36"/>
          <w:szCs w:val="48"/>
          <w:lang w:val="en-US" w:eastAsia="zh-CN" w:bidi="ar-SA"/>
        </w:rPr>
        <w:t>四、</w:t>
      </w:r>
      <w:r>
        <w:rPr>
          <w:rFonts w:ascii="Times New Roman" w:hAnsi="Times New Roman" w:eastAsia="黑体" w:cs="Times New Roman"/>
          <w:bCs/>
          <w:kern w:val="44"/>
          <w:sz w:val="36"/>
          <w:szCs w:val="48"/>
          <w:lang w:val="zh-CN" w:eastAsia="zh-CN" w:bidi="ar-SA"/>
        </w:rPr>
        <w:t>其他说明</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ascii="Times New Roman" w:hAnsi="Times New Roman" w:eastAsia="仿宋_GB2312" w:cs="Times New Roman"/>
          <w:color w:val="333333"/>
          <w:kern w:val="0"/>
          <w:sz w:val="32"/>
          <w:szCs w:val="32"/>
          <w:shd w:val="clear" w:color="auto" w:fill="FFFFFF"/>
          <w:lang w:val="zh-CN" w:eastAsia="zh-CN" w:bidi="ar-SA"/>
        </w:rPr>
      </w:pPr>
      <w:r>
        <w:rPr>
          <w:rFonts w:hint="eastAsia" w:ascii="Times New Roman" w:hAnsi="Times New Roman" w:eastAsia="仿宋_GB2312" w:cs="Times New Roman"/>
          <w:color w:val="333333"/>
          <w:kern w:val="0"/>
          <w:sz w:val="32"/>
          <w:szCs w:val="32"/>
          <w:shd w:val="clear" w:color="auto" w:fill="FFFFFF"/>
          <w:lang w:val="zh-CN" w:eastAsia="zh-CN" w:bidi="ar-SA"/>
        </w:rPr>
        <w:t>集中办公区指由机关事务管理局统筹管理的办公区域，其余为非集中办公区，和林格尔县集中办公区和非集中办公区的成本结构以及历史单位支出没有差别，本次物业管理项目支出标准不分集中办公区和非集中办公区之分。</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动态调整机制：遇重大会议、活动或特殊情况，可临时提升安保等级，增加人员与装备投入；定期评估风险并调整标准，确保与实际需求匹配。</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ascii="Times New Roman" w:hAnsi="Times New Roman" w:eastAsia="仿宋_GB2312" w:cs="Times New Roman"/>
          <w:kern w:val="0"/>
          <w:sz w:val="32"/>
          <w:szCs w:val="32"/>
          <w:lang w:val="zh-CN" w:eastAsia="zh-CN" w:bidi="ar-SA"/>
        </w:rPr>
      </w:pPr>
      <w:r>
        <w:rPr>
          <w:rFonts w:hint="eastAsia" w:ascii="Times New Roman" w:hAnsi="Times New Roman" w:eastAsia="仿宋_GB2312" w:cs="Times New Roman"/>
          <w:kern w:val="0"/>
          <w:sz w:val="32"/>
          <w:szCs w:val="32"/>
          <w:lang w:val="zh-CN" w:eastAsia="zh-CN" w:bidi="ar-SA"/>
        </w:rPr>
        <w:t>本支出标准（试行）自印发之日起施行，有效期为</w:t>
      </w:r>
      <w:r>
        <w:rPr>
          <w:rFonts w:hint="eastAsia" w:ascii="仿宋_GB2312" w:hAnsi="仿宋_GB2312" w:eastAsia="仿宋_GB2312" w:cs="仿宋_GB2312"/>
          <w:kern w:val="0"/>
          <w:sz w:val="32"/>
          <w:szCs w:val="32"/>
          <w:lang w:val="zh-CN" w:eastAsia="zh-CN" w:bidi="ar-SA"/>
        </w:rPr>
        <w:t>两</w:t>
      </w:r>
      <w:r>
        <w:rPr>
          <w:rFonts w:hint="eastAsia" w:ascii="Times New Roman" w:hAnsi="Times New Roman" w:eastAsia="仿宋_GB2312" w:cs="Times New Roman"/>
          <w:kern w:val="0"/>
          <w:sz w:val="32"/>
          <w:szCs w:val="32"/>
          <w:lang w:val="zh-CN" w:eastAsia="zh-CN" w:bidi="ar-SA"/>
        </w:rPr>
        <w:t>年。</w:t>
      </w:r>
    </w:p>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pPr>
        <w:pStyle w:val="3"/>
        <w:ind w:firstLine="560"/>
        <w:jc w:val="center"/>
        <w:rPr>
          <w:b/>
          <w:bCs/>
        </w:rPr>
      </w:pPr>
      <w:r>
        <w:rPr>
          <w:rFonts w:hint="eastAsia"/>
          <w:b/>
          <w:bCs/>
        </w:rPr>
        <w:t>物业管理项目支出标准详表</w:t>
      </w:r>
      <w:bookmarkStart w:id="1" w:name="_GoBack"/>
      <w:bookmarkEnd w:id="1"/>
    </w:p>
    <w:tbl>
      <w:tblPr>
        <w:tblStyle w:val="18"/>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16"/>
        <w:gridCol w:w="716"/>
        <w:gridCol w:w="1363"/>
        <w:gridCol w:w="2942"/>
        <w:gridCol w:w="1558"/>
        <w:gridCol w:w="773"/>
        <w:gridCol w:w="993"/>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2" w:hRule="atLeast"/>
        </w:trPr>
        <w:tc>
          <w:tcPr>
            <w:tcW w:w="395" w:type="pct"/>
            <w:vMerge w:val="restart"/>
            <w:shd w:val="clear" w:color="000000" w:fill="D9D9D9"/>
            <w:noWrap/>
            <w:vAlign w:val="center"/>
          </w:tcPr>
          <w:p>
            <w:pPr>
              <w:pStyle w:val="45"/>
              <w:keepNext w:val="0"/>
              <w:keepLines w:val="0"/>
              <w:suppressLineNumbers w:val="0"/>
              <w:spacing w:before="0" w:beforeAutospacing="0" w:after="0" w:afterAutospacing="0" w:line="240" w:lineRule="auto"/>
              <w:ind w:left="0" w:right="0"/>
              <w:rPr>
                <w:rFonts w:hint="default" w:cs="Times New Roman"/>
                <w:b/>
                <w:bCs w:val="0"/>
                <w:szCs w:val="20"/>
              </w:rPr>
            </w:pPr>
            <w:r>
              <w:rPr>
                <w:rFonts w:hint="eastAsia" w:cs="Times New Roman"/>
                <w:b/>
                <w:bCs w:val="0"/>
                <w:szCs w:val="20"/>
              </w:rPr>
              <w:t>一级项目</w:t>
            </w:r>
          </w:p>
        </w:tc>
        <w:tc>
          <w:tcPr>
            <w:tcW w:w="395" w:type="pct"/>
            <w:vMerge w:val="restart"/>
            <w:shd w:val="clear" w:color="000000" w:fill="D9D9D9"/>
            <w:noWrap/>
            <w:vAlign w:val="center"/>
          </w:tcPr>
          <w:p>
            <w:pPr>
              <w:pStyle w:val="45"/>
              <w:keepNext w:val="0"/>
              <w:keepLines w:val="0"/>
              <w:suppressLineNumbers w:val="0"/>
              <w:spacing w:before="0" w:beforeAutospacing="0" w:after="0" w:afterAutospacing="0" w:line="240" w:lineRule="auto"/>
              <w:ind w:left="0" w:right="0"/>
              <w:rPr>
                <w:rFonts w:hint="default" w:cs="Times New Roman"/>
                <w:b/>
                <w:bCs w:val="0"/>
                <w:szCs w:val="20"/>
              </w:rPr>
            </w:pPr>
            <w:r>
              <w:rPr>
                <w:rFonts w:hint="eastAsia" w:cs="Times New Roman"/>
                <w:b/>
                <w:bCs w:val="0"/>
                <w:szCs w:val="20"/>
              </w:rPr>
              <w:t>二级项目</w:t>
            </w:r>
          </w:p>
        </w:tc>
        <w:tc>
          <w:tcPr>
            <w:tcW w:w="752" w:type="pct"/>
            <w:vMerge w:val="restart"/>
            <w:shd w:val="clear" w:color="000000" w:fill="D9D9D9"/>
            <w:noWrap/>
            <w:vAlign w:val="center"/>
          </w:tcPr>
          <w:p>
            <w:pPr>
              <w:pStyle w:val="45"/>
              <w:keepNext w:val="0"/>
              <w:keepLines w:val="0"/>
              <w:suppressLineNumbers w:val="0"/>
              <w:spacing w:before="0" w:beforeAutospacing="0" w:after="0" w:afterAutospacing="0" w:line="240" w:lineRule="auto"/>
              <w:ind w:left="0" w:right="0"/>
              <w:rPr>
                <w:rFonts w:hint="default" w:cs="Times New Roman"/>
                <w:b/>
                <w:bCs w:val="0"/>
                <w:szCs w:val="20"/>
              </w:rPr>
            </w:pPr>
            <w:r>
              <w:rPr>
                <w:rFonts w:hint="eastAsia" w:cs="Times New Roman"/>
                <w:b/>
                <w:bCs w:val="0"/>
                <w:szCs w:val="20"/>
              </w:rPr>
              <w:t>三级项目</w:t>
            </w:r>
          </w:p>
        </w:tc>
        <w:tc>
          <w:tcPr>
            <w:tcW w:w="1623" w:type="pct"/>
            <w:vMerge w:val="restart"/>
            <w:shd w:val="clear" w:color="000000" w:fill="D9D9D9"/>
            <w:vAlign w:val="center"/>
          </w:tcPr>
          <w:p>
            <w:pPr>
              <w:pStyle w:val="45"/>
              <w:keepNext w:val="0"/>
              <w:keepLines w:val="0"/>
              <w:suppressLineNumbers w:val="0"/>
              <w:spacing w:before="0" w:beforeAutospacing="0" w:after="0" w:afterAutospacing="0" w:line="240" w:lineRule="auto"/>
              <w:ind w:left="0" w:right="0"/>
              <w:rPr>
                <w:rFonts w:hint="default" w:cs="Times New Roman"/>
                <w:b/>
                <w:bCs w:val="0"/>
                <w:szCs w:val="20"/>
              </w:rPr>
            </w:pPr>
            <w:r>
              <w:rPr>
                <w:rFonts w:hint="eastAsia" w:cs="Times New Roman"/>
                <w:b/>
                <w:bCs w:val="0"/>
                <w:szCs w:val="20"/>
              </w:rPr>
              <w:t>支出事项</w:t>
            </w:r>
          </w:p>
        </w:tc>
        <w:tc>
          <w:tcPr>
            <w:tcW w:w="1834" w:type="pct"/>
            <w:gridSpan w:val="3"/>
            <w:shd w:val="clear" w:color="000000" w:fill="D8D8D8"/>
            <w:noWrap/>
            <w:vAlign w:val="center"/>
          </w:tcPr>
          <w:p>
            <w:pPr>
              <w:pStyle w:val="45"/>
              <w:keepNext w:val="0"/>
              <w:keepLines w:val="0"/>
              <w:suppressLineNumbers w:val="0"/>
              <w:spacing w:before="0" w:beforeAutospacing="0" w:after="0" w:afterAutospacing="0" w:line="240" w:lineRule="auto"/>
              <w:ind w:left="0" w:right="0"/>
              <w:rPr>
                <w:rFonts w:hint="default" w:cs="Times New Roman"/>
                <w:b/>
                <w:bCs w:val="0"/>
                <w:szCs w:val="20"/>
              </w:rPr>
            </w:pPr>
            <w:r>
              <w:rPr>
                <w:rFonts w:hint="eastAsia" w:cs="Times New Roman"/>
                <w:b/>
                <w:bCs w:val="0"/>
                <w:szCs w:val="20"/>
              </w:rPr>
              <w:t>支出标准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2" w:hRule="atLeast"/>
        </w:trPr>
        <w:tc>
          <w:tcPr>
            <w:tcW w:w="395" w:type="pct"/>
            <w:vMerge w:val="continue"/>
            <w:vAlign w:val="center"/>
          </w:tcPr>
          <w:p>
            <w:pPr>
              <w:pStyle w:val="45"/>
              <w:keepNext w:val="0"/>
              <w:keepLines w:val="0"/>
              <w:suppressLineNumbers w:val="0"/>
              <w:spacing w:before="0" w:beforeAutospacing="0" w:after="0" w:afterAutospacing="0" w:line="240" w:lineRule="auto"/>
              <w:ind w:left="0" w:right="0"/>
              <w:rPr>
                <w:rFonts w:hint="default" w:cs="Times New Roman"/>
                <w:b/>
                <w:bCs w:val="0"/>
                <w:szCs w:val="20"/>
              </w:rPr>
            </w:pPr>
          </w:p>
        </w:tc>
        <w:tc>
          <w:tcPr>
            <w:tcW w:w="395" w:type="pct"/>
            <w:vMerge w:val="continue"/>
            <w:vAlign w:val="center"/>
          </w:tcPr>
          <w:p>
            <w:pPr>
              <w:pStyle w:val="45"/>
              <w:keepNext w:val="0"/>
              <w:keepLines w:val="0"/>
              <w:suppressLineNumbers w:val="0"/>
              <w:spacing w:before="0" w:beforeAutospacing="0" w:after="0" w:afterAutospacing="0" w:line="240" w:lineRule="auto"/>
              <w:ind w:left="0" w:right="0"/>
              <w:rPr>
                <w:rFonts w:hint="default" w:cs="Times New Roman"/>
                <w:b/>
                <w:bCs w:val="0"/>
                <w:szCs w:val="20"/>
              </w:rPr>
            </w:pPr>
          </w:p>
        </w:tc>
        <w:tc>
          <w:tcPr>
            <w:tcW w:w="752" w:type="pct"/>
            <w:vMerge w:val="continue"/>
            <w:vAlign w:val="center"/>
          </w:tcPr>
          <w:p>
            <w:pPr>
              <w:pStyle w:val="45"/>
              <w:keepNext w:val="0"/>
              <w:keepLines w:val="0"/>
              <w:suppressLineNumbers w:val="0"/>
              <w:spacing w:before="0" w:beforeAutospacing="0" w:after="0" w:afterAutospacing="0" w:line="240" w:lineRule="auto"/>
              <w:ind w:left="0" w:right="0"/>
              <w:rPr>
                <w:rFonts w:hint="default" w:cs="Times New Roman"/>
                <w:b/>
                <w:bCs w:val="0"/>
                <w:szCs w:val="20"/>
              </w:rPr>
            </w:pPr>
          </w:p>
        </w:tc>
        <w:tc>
          <w:tcPr>
            <w:tcW w:w="1623" w:type="pct"/>
            <w:vMerge w:val="continue"/>
            <w:vAlign w:val="center"/>
          </w:tcPr>
          <w:p>
            <w:pPr>
              <w:pStyle w:val="45"/>
              <w:keepNext w:val="0"/>
              <w:keepLines w:val="0"/>
              <w:suppressLineNumbers w:val="0"/>
              <w:spacing w:before="0" w:beforeAutospacing="0" w:after="0" w:afterAutospacing="0" w:line="240" w:lineRule="auto"/>
              <w:ind w:left="0" w:right="0"/>
              <w:rPr>
                <w:rFonts w:hint="default" w:cs="Times New Roman"/>
                <w:b/>
                <w:bCs w:val="0"/>
                <w:szCs w:val="20"/>
              </w:rPr>
            </w:pPr>
          </w:p>
        </w:tc>
        <w:tc>
          <w:tcPr>
            <w:tcW w:w="859" w:type="pct"/>
            <w:shd w:val="clear" w:color="000000" w:fill="D8D8D8"/>
            <w:noWrap/>
            <w:vAlign w:val="center"/>
          </w:tcPr>
          <w:p>
            <w:pPr>
              <w:pStyle w:val="45"/>
              <w:keepNext w:val="0"/>
              <w:keepLines w:val="0"/>
              <w:suppressLineNumbers w:val="0"/>
              <w:spacing w:before="0" w:beforeAutospacing="0" w:after="0" w:afterAutospacing="0" w:line="240" w:lineRule="auto"/>
              <w:ind w:left="0" w:right="0"/>
              <w:rPr>
                <w:rFonts w:hint="default" w:cs="Times New Roman"/>
                <w:b/>
                <w:bCs w:val="0"/>
                <w:szCs w:val="20"/>
              </w:rPr>
            </w:pPr>
            <w:r>
              <w:rPr>
                <w:rFonts w:hint="eastAsia" w:cs="Times New Roman"/>
                <w:b/>
                <w:bCs w:val="0"/>
                <w:szCs w:val="20"/>
              </w:rPr>
              <w:t>支出标准</w:t>
            </w:r>
          </w:p>
        </w:tc>
        <w:tc>
          <w:tcPr>
            <w:tcW w:w="426" w:type="pct"/>
            <w:shd w:val="clear" w:color="000000" w:fill="D8D8D8"/>
            <w:noWrap/>
            <w:vAlign w:val="center"/>
          </w:tcPr>
          <w:p>
            <w:pPr>
              <w:pStyle w:val="45"/>
              <w:keepNext w:val="0"/>
              <w:keepLines w:val="0"/>
              <w:suppressLineNumbers w:val="0"/>
              <w:spacing w:before="0" w:beforeAutospacing="0" w:after="0" w:afterAutospacing="0" w:line="240" w:lineRule="auto"/>
              <w:ind w:left="0" w:right="0"/>
              <w:rPr>
                <w:rFonts w:hint="default" w:cs="Times New Roman"/>
                <w:b/>
                <w:bCs w:val="0"/>
                <w:szCs w:val="20"/>
              </w:rPr>
            </w:pPr>
            <w:r>
              <w:rPr>
                <w:rFonts w:hint="eastAsia" w:cs="Times New Roman"/>
                <w:b/>
                <w:bCs w:val="0"/>
                <w:szCs w:val="20"/>
              </w:rPr>
              <w:t>单位</w:t>
            </w:r>
          </w:p>
        </w:tc>
        <w:tc>
          <w:tcPr>
            <w:tcW w:w="547" w:type="pct"/>
            <w:shd w:val="clear" w:color="000000" w:fill="D8D8D8"/>
            <w:noWrap/>
            <w:vAlign w:val="center"/>
          </w:tcPr>
          <w:p>
            <w:pPr>
              <w:pStyle w:val="45"/>
              <w:keepNext w:val="0"/>
              <w:keepLines w:val="0"/>
              <w:suppressLineNumbers w:val="0"/>
              <w:spacing w:before="0" w:beforeAutospacing="0" w:after="0" w:afterAutospacing="0" w:line="240" w:lineRule="auto"/>
              <w:ind w:left="0" w:right="0"/>
              <w:rPr>
                <w:rFonts w:hint="default" w:cs="Times New Roman"/>
                <w:b/>
                <w:bCs w:val="0"/>
                <w:szCs w:val="20"/>
              </w:rPr>
            </w:pPr>
            <w:r>
              <w:rPr>
                <w:rFonts w:hint="eastAsia" w:cs="Times New Roman"/>
                <w:b/>
                <w:bCs w:val="0"/>
                <w:szCs w:val="20"/>
              </w:rPr>
              <w:t>控总额</w:t>
            </w:r>
            <w:r>
              <w:rPr>
                <w:rFonts w:hint="default" w:cs="Times New Roman"/>
                <w:b/>
                <w:bCs w:val="0"/>
                <w:szCs w:val="20"/>
              </w:rPr>
              <w:t>/</w:t>
            </w:r>
            <w:r>
              <w:rPr>
                <w:rFonts w:hint="eastAsia" w:cs="Times New Roman"/>
                <w:b/>
                <w:bCs w:val="0"/>
                <w:szCs w:val="20"/>
              </w:rPr>
              <w:t>控单价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08" w:hRule="atLeast"/>
        </w:trPr>
        <w:tc>
          <w:tcPr>
            <w:tcW w:w="395" w:type="pct"/>
            <w:vMerge w:val="restart"/>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eastAsia" w:cs="Times New Roman"/>
                <w:szCs w:val="20"/>
              </w:rPr>
              <w:t>物业服务支出</w:t>
            </w:r>
          </w:p>
        </w:tc>
        <w:tc>
          <w:tcPr>
            <w:tcW w:w="395" w:type="pct"/>
            <w:vMerge w:val="restart"/>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eastAsia" w:cs="Times New Roman"/>
                <w:szCs w:val="20"/>
              </w:rPr>
              <w:t>保洁服务</w:t>
            </w:r>
          </w:p>
        </w:tc>
        <w:tc>
          <w:tcPr>
            <w:tcW w:w="752" w:type="pct"/>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eastAsia" w:cs="Times New Roman"/>
                <w:szCs w:val="20"/>
              </w:rPr>
              <w:t>楼内保洁</w:t>
            </w:r>
          </w:p>
        </w:tc>
        <w:tc>
          <w:tcPr>
            <w:tcW w:w="1623" w:type="pct"/>
            <w:vAlign w:val="center"/>
          </w:tcPr>
          <w:p>
            <w:pPr>
              <w:pStyle w:val="45"/>
              <w:keepNext w:val="0"/>
              <w:keepLines w:val="0"/>
              <w:suppressLineNumbers w:val="0"/>
              <w:spacing w:before="0" w:beforeAutospacing="0" w:after="0" w:afterAutospacing="0" w:line="240" w:lineRule="auto"/>
              <w:ind w:left="0" w:right="0"/>
              <w:jc w:val="both"/>
              <w:rPr>
                <w:rFonts w:hint="default" w:cs="Times New Roman"/>
                <w:szCs w:val="20"/>
              </w:rPr>
            </w:pPr>
            <w:r>
              <w:rPr>
                <w:rFonts w:hint="eastAsia" w:cs="Times New Roman"/>
                <w:szCs w:val="20"/>
              </w:rPr>
              <w:t>各楼宇公共区域卫生清洁服务。包括</w:t>
            </w:r>
            <w:r>
              <w:rPr>
                <w:rFonts w:hint="default" w:cs="Times New Roman"/>
                <w:szCs w:val="20"/>
              </w:rPr>
              <w:t>:</w:t>
            </w:r>
            <w:r>
              <w:rPr>
                <w:rFonts w:hint="eastAsia" w:cs="Times New Roman"/>
                <w:szCs w:val="20"/>
              </w:rPr>
              <w:t>卫生间、开水间、墩布间、大厅和走廊地面、墙面、顶棚、踢脚线、台阶、窗台、公共区域门、垃圾桶、隔板门、洗手池、镜面、消防通道门、公共区域玻璃、公共区域沙发、排风口、展示栏、监控探头等清洁工作</w:t>
            </w:r>
            <w:r>
              <w:rPr>
                <w:rFonts w:hint="eastAsia" w:cs="Times New Roman"/>
                <w:szCs w:val="20"/>
                <w:lang w:eastAsia="zh-CN"/>
              </w:rPr>
              <w:t>；</w:t>
            </w:r>
            <w:r>
              <w:rPr>
                <w:rFonts w:hint="eastAsia" w:cs="Times New Roman"/>
                <w:szCs w:val="20"/>
              </w:rPr>
              <w:t>办公楼内产生的各类日常垃圾</w:t>
            </w:r>
            <w:r>
              <w:rPr>
                <w:rFonts w:hint="default" w:cs="Times New Roman"/>
                <w:szCs w:val="20"/>
              </w:rPr>
              <w:t>,</w:t>
            </w:r>
            <w:r>
              <w:rPr>
                <w:rFonts w:hint="eastAsia" w:cs="Times New Roman"/>
                <w:szCs w:val="20"/>
              </w:rPr>
              <w:t>分类转运至指定地点</w:t>
            </w:r>
            <w:r>
              <w:rPr>
                <w:rFonts w:hint="eastAsia" w:cs="Times New Roman"/>
                <w:szCs w:val="20"/>
                <w:lang w:eastAsia="zh-CN"/>
              </w:rPr>
              <w:t>；</w:t>
            </w:r>
            <w:r>
              <w:rPr>
                <w:rFonts w:hint="eastAsia" w:cs="Times New Roman"/>
                <w:szCs w:val="20"/>
              </w:rPr>
              <w:t>办公楼内日常卫生消杀服务</w:t>
            </w:r>
            <w:r>
              <w:rPr>
                <w:rFonts w:hint="eastAsia" w:cs="Times New Roman"/>
                <w:szCs w:val="20"/>
                <w:lang w:eastAsia="zh-CN"/>
              </w:rPr>
              <w:t>；</w:t>
            </w:r>
            <w:r>
              <w:rPr>
                <w:rFonts w:hint="eastAsia" w:cs="Times New Roman"/>
                <w:szCs w:val="20"/>
              </w:rPr>
              <w:t>楼内设备的日常维护工作</w:t>
            </w:r>
            <w:r>
              <w:rPr>
                <w:rFonts w:hint="eastAsia" w:cs="Times New Roman"/>
                <w:szCs w:val="20"/>
                <w:lang w:eastAsia="zh-CN"/>
              </w:rPr>
              <w:t>；</w:t>
            </w:r>
            <w:r>
              <w:rPr>
                <w:rFonts w:hint="eastAsia" w:cs="Times New Roman"/>
                <w:szCs w:val="20"/>
              </w:rPr>
              <w:t>公共设施设备损坏、异常情况报修</w:t>
            </w:r>
            <w:r>
              <w:rPr>
                <w:rFonts w:hint="eastAsia" w:cs="Times New Roman"/>
                <w:szCs w:val="20"/>
                <w:lang w:eastAsia="zh-CN"/>
              </w:rPr>
              <w:t>；</w:t>
            </w:r>
            <w:r>
              <w:rPr>
                <w:rFonts w:hint="eastAsia" w:cs="Times New Roman"/>
                <w:szCs w:val="20"/>
              </w:rPr>
              <w:t>其他楼内保洁工作</w:t>
            </w:r>
          </w:p>
        </w:tc>
        <w:tc>
          <w:tcPr>
            <w:tcW w:w="859" w:type="pct"/>
            <w:noWrap/>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default" w:cs="Times New Roman"/>
                <w:szCs w:val="20"/>
              </w:rPr>
              <w:t>2.</w:t>
            </w:r>
            <w:r>
              <w:rPr>
                <w:rFonts w:hint="eastAsia" w:cs="Times New Roman"/>
                <w:szCs w:val="20"/>
              </w:rPr>
              <w:t>02</w:t>
            </w:r>
          </w:p>
        </w:tc>
        <w:tc>
          <w:tcPr>
            <w:tcW w:w="426" w:type="pct"/>
            <w:noWrap/>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eastAsia" w:cs="Times New Roman"/>
                <w:szCs w:val="20"/>
              </w:rPr>
              <w:t>元/平方米/月</w:t>
            </w:r>
          </w:p>
        </w:tc>
        <w:tc>
          <w:tcPr>
            <w:tcW w:w="547" w:type="pct"/>
            <w:noWrap/>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eastAsia" w:cs="Times New Roman"/>
                <w:szCs w:val="20"/>
              </w:rPr>
              <w:t>控单价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48" w:hRule="atLeast"/>
        </w:trPr>
        <w:tc>
          <w:tcPr>
            <w:tcW w:w="395" w:type="pct"/>
            <w:vMerge w:val="continue"/>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p>
        </w:tc>
        <w:tc>
          <w:tcPr>
            <w:tcW w:w="395" w:type="pct"/>
            <w:vMerge w:val="continue"/>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p>
        </w:tc>
        <w:tc>
          <w:tcPr>
            <w:tcW w:w="752" w:type="pct"/>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eastAsia" w:cs="Times New Roman"/>
                <w:szCs w:val="20"/>
              </w:rPr>
              <w:t>户外保洁</w:t>
            </w:r>
          </w:p>
        </w:tc>
        <w:tc>
          <w:tcPr>
            <w:tcW w:w="1623" w:type="pct"/>
            <w:vAlign w:val="center"/>
          </w:tcPr>
          <w:p>
            <w:pPr>
              <w:pStyle w:val="45"/>
              <w:keepNext w:val="0"/>
              <w:keepLines w:val="0"/>
              <w:suppressLineNumbers w:val="0"/>
              <w:spacing w:before="0" w:beforeAutospacing="0" w:after="0" w:afterAutospacing="0" w:line="240" w:lineRule="auto"/>
              <w:ind w:left="0" w:right="0"/>
              <w:jc w:val="both"/>
              <w:rPr>
                <w:rFonts w:hint="default" w:cs="Times New Roman"/>
                <w:szCs w:val="20"/>
              </w:rPr>
            </w:pPr>
            <w:r>
              <w:rPr>
                <w:rFonts w:hint="eastAsia" w:cs="Times New Roman"/>
                <w:szCs w:val="20"/>
              </w:rPr>
              <w:t>办公区域内道路、绿化区域人行路、主干道、广场日常保洁、标识物擦拭、路面日常垃圾拾捡及秋季落叶清理、冬季积雪清理</w:t>
            </w:r>
            <w:r>
              <w:rPr>
                <w:rFonts w:hint="eastAsia" w:cs="Times New Roman"/>
                <w:szCs w:val="20"/>
                <w:lang w:eastAsia="zh-CN"/>
              </w:rPr>
              <w:t>；</w:t>
            </w:r>
            <w:r>
              <w:rPr>
                <w:rFonts w:hint="eastAsia" w:cs="Times New Roman"/>
                <w:szCs w:val="20"/>
              </w:rPr>
              <w:t>公共区域垃圾、公共区域水篦子清掏工作</w:t>
            </w:r>
            <w:r>
              <w:rPr>
                <w:rFonts w:hint="eastAsia" w:cs="Times New Roman"/>
                <w:szCs w:val="20"/>
                <w:lang w:eastAsia="zh-CN"/>
              </w:rPr>
              <w:t>；</w:t>
            </w:r>
            <w:r>
              <w:rPr>
                <w:rFonts w:hint="eastAsia" w:cs="Times New Roman"/>
                <w:szCs w:val="20"/>
              </w:rPr>
              <w:t>冬季人工及机械化除雪服务</w:t>
            </w:r>
            <w:r>
              <w:rPr>
                <w:rFonts w:hint="eastAsia" w:cs="Times New Roman"/>
                <w:szCs w:val="20"/>
                <w:lang w:eastAsia="zh-CN"/>
              </w:rPr>
              <w:t>；</w:t>
            </w:r>
            <w:r>
              <w:rPr>
                <w:rFonts w:hint="eastAsia" w:cs="Times New Roman"/>
                <w:szCs w:val="20"/>
              </w:rPr>
              <w:t>办公楼外日常卫生消杀服务</w:t>
            </w:r>
            <w:r>
              <w:rPr>
                <w:rFonts w:hint="eastAsia" w:cs="Times New Roman"/>
                <w:szCs w:val="20"/>
                <w:lang w:eastAsia="zh-CN"/>
              </w:rPr>
              <w:t>；</w:t>
            </w:r>
            <w:r>
              <w:rPr>
                <w:rFonts w:hint="eastAsia" w:cs="Times New Roman"/>
                <w:szCs w:val="20"/>
              </w:rPr>
              <w:t>公共区域设备清洁维护工作</w:t>
            </w:r>
            <w:r>
              <w:rPr>
                <w:rFonts w:hint="eastAsia" w:cs="Times New Roman"/>
                <w:szCs w:val="20"/>
                <w:lang w:eastAsia="zh-CN"/>
              </w:rPr>
              <w:t>；</w:t>
            </w:r>
            <w:r>
              <w:rPr>
                <w:rFonts w:hint="eastAsia" w:cs="Times New Roman"/>
                <w:szCs w:val="20"/>
              </w:rPr>
              <w:t>户外安全隐患检查、公共设施设备损坏、异常情况报修</w:t>
            </w:r>
            <w:r>
              <w:rPr>
                <w:rFonts w:hint="eastAsia" w:cs="Times New Roman"/>
                <w:szCs w:val="20"/>
                <w:lang w:eastAsia="zh-CN"/>
              </w:rPr>
              <w:t>；</w:t>
            </w:r>
            <w:r>
              <w:rPr>
                <w:rFonts w:hint="eastAsia" w:cs="Times New Roman"/>
                <w:szCs w:val="20"/>
              </w:rPr>
              <w:t>其他户外保洁工作</w:t>
            </w:r>
          </w:p>
        </w:tc>
        <w:tc>
          <w:tcPr>
            <w:tcW w:w="859" w:type="pct"/>
            <w:noWrap/>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default" w:cs="Times New Roman"/>
                <w:szCs w:val="20"/>
              </w:rPr>
              <w:t>0.</w:t>
            </w:r>
            <w:r>
              <w:rPr>
                <w:rFonts w:hint="eastAsia" w:cs="Times New Roman"/>
                <w:szCs w:val="20"/>
              </w:rPr>
              <w:t>46</w:t>
            </w:r>
          </w:p>
        </w:tc>
        <w:tc>
          <w:tcPr>
            <w:tcW w:w="426" w:type="pct"/>
            <w:noWrap/>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eastAsia" w:cs="Times New Roman"/>
                <w:szCs w:val="20"/>
              </w:rPr>
              <w:t>元/平方米/月</w:t>
            </w:r>
          </w:p>
        </w:tc>
        <w:tc>
          <w:tcPr>
            <w:tcW w:w="547" w:type="pct"/>
            <w:noWrap/>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eastAsia" w:cs="Times New Roman"/>
                <w:szCs w:val="20"/>
              </w:rPr>
              <w:t>控单价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8" w:hRule="atLeast"/>
        </w:trPr>
        <w:tc>
          <w:tcPr>
            <w:tcW w:w="395" w:type="pct"/>
            <w:vMerge w:val="continue"/>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p>
        </w:tc>
        <w:tc>
          <w:tcPr>
            <w:tcW w:w="395" w:type="pct"/>
            <w:vMerge w:val="restart"/>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eastAsia" w:cs="Times New Roman"/>
                <w:szCs w:val="20"/>
              </w:rPr>
              <w:t>安保服务</w:t>
            </w:r>
          </w:p>
        </w:tc>
        <w:tc>
          <w:tcPr>
            <w:tcW w:w="752" w:type="pct"/>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eastAsia" w:cs="Times New Roman"/>
                <w:szCs w:val="20"/>
              </w:rPr>
              <w:t>出入口管理（大门岗）</w:t>
            </w:r>
          </w:p>
        </w:tc>
        <w:tc>
          <w:tcPr>
            <w:tcW w:w="1623" w:type="pct"/>
            <w:vAlign w:val="center"/>
          </w:tcPr>
          <w:p>
            <w:pPr>
              <w:pStyle w:val="45"/>
              <w:keepNext w:val="0"/>
              <w:keepLines w:val="0"/>
              <w:suppressLineNumbers w:val="0"/>
              <w:spacing w:before="0" w:beforeAutospacing="0" w:after="0" w:afterAutospacing="0" w:line="240" w:lineRule="auto"/>
              <w:ind w:left="0" w:right="0"/>
              <w:jc w:val="both"/>
              <w:rPr>
                <w:rFonts w:hint="default" w:cs="Times New Roman"/>
                <w:szCs w:val="20"/>
              </w:rPr>
            </w:pPr>
            <w:r>
              <w:rPr>
                <w:rFonts w:hint="eastAsia" w:cs="Times New Roman"/>
                <w:szCs w:val="20"/>
              </w:rPr>
              <w:t>办公区大门岗的值守及来访人员的报知联系、证件检验、登记；信访人员引导至指定区域并上报。内部车辆凭证通行，外来车辆登记并引导至指定车位，检查后备箱杜绝危险品进入</w:t>
            </w:r>
          </w:p>
        </w:tc>
        <w:tc>
          <w:tcPr>
            <w:tcW w:w="859" w:type="pct"/>
            <w:noWrap/>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default" w:cs="Times New Roman"/>
                <w:szCs w:val="20"/>
              </w:rPr>
              <w:t>142,302.00</w:t>
            </w:r>
          </w:p>
        </w:tc>
        <w:tc>
          <w:tcPr>
            <w:tcW w:w="426" w:type="pct"/>
            <w:noWrap/>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eastAsia" w:cs="Times New Roman"/>
                <w:szCs w:val="20"/>
              </w:rPr>
              <w:t>元/年/个</w:t>
            </w:r>
          </w:p>
        </w:tc>
        <w:tc>
          <w:tcPr>
            <w:tcW w:w="547" w:type="pct"/>
            <w:noWrap/>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eastAsia" w:cs="Times New Roman"/>
                <w:szCs w:val="20"/>
              </w:rPr>
              <w:t>控总额/控单价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8" w:hRule="atLeast"/>
        </w:trPr>
        <w:tc>
          <w:tcPr>
            <w:tcW w:w="395" w:type="pct"/>
            <w:vMerge w:val="continue"/>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p>
        </w:tc>
        <w:tc>
          <w:tcPr>
            <w:tcW w:w="395" w:type="pct"/>
            <w:vMerge w:val="continue"/>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p>
        </w:tc>
        <w:tc>
          <w:tcPr>
            <w:tcW w:w="752" w:type="pct"/>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eastAsia" w:cs="Times New Roman"/>
                <w:szCs w:val="20"/>
              </w:rPr>
              <w:t>出入口管理（楼宇岗）</w:t>
            </w:r>
          </w:p>
        </w:tc>
        <w:tc>
          <w:tcPr>
            <w:tcW w:w="1623" w:type="pct"/>
            <w:vAlign w:val="center"/>
          </w:tcPr>
          <w:p>
            <w:pPr>
              <w:pStyle w:val="45"/>
              <w:keepNext w:val="0"/>
              <w:keepLines w:val="0"/>
              <w:suppressLineNumbers w:val="0"/>
              <w:spacing w:before="0" w:beforeAutospacing="0" w:after="0" w:afterAutospacing="0" w:line="240" w:lineRule="auto"/>
              <w:ind w:left="0" w:right="0"/>
              <w:jc w:val="both"/>
              <w:rPr>
                <w:rFonts w:hint="default" w:cs="Times New Roman"/>
                <w:szCs w:val="20"/>
              </w:rPr>
            </w:pPr>
            <w:r>
              <w:rPr>
                <w:rFonts w:hint="eastAsia" w:cs="Times New Roman"/>
                <w:szCs w:val="20"/>
              </w:rPr>
              <w:t>对楼内安全隐患提醒报修</w:t>
            </w:r>
            <w:r>
              <w:rPr>
                <w:rFonts w:hint="eastAsia" w:cs="Times New Roman"/>
                <w:szCs w:val="20"/>
                <w:lang w:eastAsia="zh-CN"/>
              </w:rPr>
              <w:t>；</w:t>
            </w:r>
            <w:r>
              <w:rPr>
                <w:rFonts w:hint="eastAsia" w:cs="Times New Roman"/>
                <w:szCs w:val="20"/>
              </w:rPr>
              <w:t>楼内访客的接待、登记工作</w:t>
            </w:r>
          </w:p>
        </w:tc>
        <w:tc>
          <w:tcPr>
            <w:tcW w:w="859" w:type="pct"/>
            <w:noWrap/>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default" w:cs="Times New Roman"/>
                <w:szCs w:val="20"/>
              </w:rPr>
              <w:t>94,868.00</w:t>
            </w:r>
          </w:p>
        </w:tc>
        <w:tc>
          <w:tcPr>
            <w:tcW w:w="426" w:type="pct"/>
            <w:noWrap/>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eastAsia" w:cs="Times New Roman"/>
                <w:szCs w:val="20"/>
              </w:rPr>
              <w:t>元/年/个</w:t>
            </w:r>
          </w:p>
        </w:tc>
        <w:tc>
          <w:tcPr>
            <w:tcW w:w="547" w:type="pct"/>
            <w:noWrap/>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eastAsia" w:cs="Times New Roman"/>
                <w:szCs w:val="20"/>
              </w:rPr>
              <w:t>控总额/控单价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8" w:hRule="atLeast"/>
        </w:trPr>
        <w:tc>
          <w:tcPr>
            <w:tcW w:w="395" w:type="pct"/>
            <w:vMerge w:val="continue"/>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p>
        </w:tc>
        <w:tc>
          <w:tcPr>
            <w:tcW w:w="395" w:type="pct"/>
            <w:vMerge w:val="continue"/>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p>
        </w:tc>
        <w:tc>
          <w:tcPr>
            <w:tcW w:w="752" w:type="pct"/>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eastAsia" w:cs="Times New Roman"/>
                <w:szCs w:val="20"/>
              </w:rPr>
              <w:t>监控中心岗</w:t>
            </w:r>
          </w:p>
        </w:tc>
        <w:tc>
          <w:tcPr>
            <w:tcW w:w="1623" w:type="pct"/>
            <w:vAlign w:val="center"/>
          </w:tcPr>
          <w:p>
            <w:pPr>
              <w:pStyle w:val="45"/>
              <w:keepNext w:val="0"/>
              <w:keepLines w:val="0"/>
              <w:suppressLineNumbers w:val="0"/>
              <w:spacing w:before="0" w:beforeAutospacing="0" w:after="0" w:afterAutospacing="0" w:line="240" w:lineRule="auto"/>
              <w:ind w:left="0" w:right="0"/>
              <w:jc w:val="both"/>
              <w:rPr>
                <w:rFonts w:hint="default" w:cs="Times New Roman"/>
                <w:szCs w:val="20"/>
              </w:rPr>
            </w:pPr>
            <w:r>
              <w:rPr>
                <w:rFonts w:hint="eastAsia" w:cs="Times New Roman"/>
                <w:szCs w:val="20"/>
              </w:rPr>
              <w:t>负责实时消防监控系统操作，发现异常及时处理，防盗等报警监控运行管理</w:t>
            </w:r>
          </w:p>
        </w:tc>
        <w:tc>
          <w:tcPr>
            <w:tcW w:w="859" w:type="pct"/>
            <w:noWrap/>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default" w:cs="Times New Roman"/>
                <w:szCs w:val="20"/>
              </w:rPr>
              <w:t>94,868.00</w:t>
            </w:r>
          </w:p>
        </w:tc>
        <w:tc>
          <w:tcPr>
            <w:tcW w:w="426" w:type="pct"/>
            <w:noWrap/>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eastAsia" w:cs="Times New Roman"/>
                <w:szCs w:val="20"/>
              </w:rPr>
              <w:t>元/年/班次</w:t>
            </w:r>
          </w:p>
        </w:tc>
        <w:tc>
          <w:tcPr>
            <w:tcW w:w="547" w:type="pct"/>
            <w:noWrap/>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eastAsia" w:cs="Times New Roman"/>
                <w:szCs w:val="20"/>
              </w:rPr>
              <w:t>控总额</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8" w:hRule="atLeast"/>
        </w:trPr>
        <w:tc>
          <w:tcPr>
            <w:tcW w:w="395" w:type="pct"/>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p>
        </w:tc>
        <w:tc>
          <w:tcPr>
            <w:tcW w:w="395" w:type="pct"/>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p>
        </w:tc>
        <w:tc>
          <w:tcPr>
            <w:tcW w:w="752" w:type="pct"/>
            <w:vAlign w:val="center"/>
          </w:tcPr>
          <w:p>
            <w:pPr>
              <w:pStyle w:val="45"/>
              <w:keepNext w:val="0"/>
              <w:keepLines w:val="0"/>
              <w:suppressLineNumbers w:val="0"/>
              <w:spacing w:before="0" w:beforeAutospacing="0" w:after="0" w:afterAutospacing="0" w:line="240" w:lineRule="auto"/>
              <w:ind w:left="0" w:leftChars="0" w:right="0" w:rightChars="0" w:firstLine="0" w:firstLineChars="0"/>
              <w:rPr>
                <w:rFonts w:hint="eastAsia" w:ascii="Times New Roman" w:hAnsi="Times New Roman" w:eastAsia="仿宋_GB2312" w:cs="Times New Roman"/>
                <w:bCs/>
                <w:color w:val="000000"/>
                <w:kern w:val="0"/>
                <w:sz w:val="22"/>
                <w:szCs w:val="20"/>
                <w:lang w:val="zh-CN" w:eastAsia="zh-CN" w:bidi="ar-SA"/>
              </w:rPr>
            </w:pPr>
            <w:r>
              <w:rPr>
                <w:rFonts w:hint="eastAsia" w:cs="Times New Roman"/>
                <w:szCs w:val="20"/>
              </w:rPr>
              <w:t>巡逻</w:t>
            </w:r>
          </w:p>
        </w:tc>
        <w:tc>
          <w:tcPr>
            <w:tcW w:w="1623" w:type="pct"/>
            <w:vAlign w:val="center"/>
          </w:tcPr>
          <w:p>
            <w:pPr>
              <w:pStyle w:val="45"/>
              <w:keepNext w:val="0"/>
              <w:keepLines w:val="0"/>
              <w:suppressLineNumbers w:val="0"/>
              <w:spacing w:before="0" w:beforeAutospacing="0" w:after="0" w:afterAutospacing="0" w:line="240" w:lineRule="auto"/>
              <w:ind w:left="0" w:leftChars="0" w:right="0" w:rightChars="0" w:firstLine="0" w:firstLineChars="0"/>
              <w:jc w:val="left"/>
              <w:rPr>
                <w:rFonts w:hint="eastAsia" w:ascii="Times New Roman" w:hAnsi="Times New Roman" w:eastAsia="仿宋_GB2312" w:cs="Times New Roman"/>
                <w:bCs/>
                <w:color w:val="000000"/>
                <w:kern w:val="0"/>
                <w:sz w:val="22"/>
                <w:szCs w:val="20"/>
                <w:lang w:val="zh-CN" w:eastAsia="zh-CN" w:bidi="ar-SA"/>
              </w:rPr>
            </w:pPr>
            <w:r>
              <w:rPr>
                <w:rFonts w:hint="eastAsia" w:cs="Times New Roman"/>
                <w:szCs w:val="20"/>
              </w:rPr>
              <w:t>定时按计划巡查重点区域，记录巡逻情况；根据需求进行夜间巡查，确保安全</w:t>
            </w:r>
          </w:p>
        </w:tc>
        <w:tc>
          <w:tcPr>
            <w:tcW w:w="859" w:type="pct"/>
            <w:noWrap/>
            <w:vAlign w:val="center"/>
          </w:tcPr>
          <w:p>
            <w:pPr>
              <w:pStyle w:val="45"/>
              <w:keepNext w:val="0"/>
              <w:keepLines w:val="0"/>
              <w:suppressLineNumbers w:val="0"/>
              <w:spacing w:before="0" w:beforeAutospacing="0" w:after="0" w:afterAutospacing="0" w:line="240" w:lineRule="auto"/>
              <w:ind w:left="0" w:leftChars="0" w:right="0" w:rightChars="0" w:firstLine="0" w:firstLineChars="0"/>
              <w:rPr>
                <w:rFonts w:hint="default" w:ascii="Times New Roman" w:hAnsi="Times New Roman" w:eastAsia="仿宋_GB2312" w:cs="Times New Roman"/>
                <w:bCs/>
                <w:color w:val="000000"/>
                <w:kern w:val="0"/>
                <w:sz w:val="22"/>
                <w:szCs w:val="20"/>
                <w:lang w:val="zh-CN" w:eastAsia="zh-CN" w:bidi="ar-SA"/>
              </w:rPr>
            </w:pPr>
            <w:r>
              <w:rPr>
                <w:rFonts w:hint="default" w:cs="Times New Roman"/>
                <w:szCs w:val="20"/>
              </w:rPr>
              <w:t>5.10</w:t>
            </w:r>
          </w:p>
        </w:tc>
        <w:tc>
          <w:tcPr>
            <w:tcW w:w="426" w:type="pct"/>
            <w:noWrap/>
            <w:vAlign w:val="center"/>
          </w:tcPr>
          <w:p>
            <w:pPr>
              <w:pStyle w:val="45"/>
              <w:keepNext w:val="0"/>
              <w:keepLines w:val="0"/>
              <w:suppressLineNumbers w:val="0"/>
              <w:spacing w:before="0" w:beforeAutospacing="0" w:after="0" w:afterAutospacing="0" w:line="240" w:lineRule="auto"/>
              <w:ind w:left="0" w:leftChars="0" w:right="0" w:rightChars="0" w:firstLine="0" w:firstLineChars="0"/>
              <w:rPr>
                <w:rFonts w:hint="eastAsia" w:ascii="Times New Roman" w:hAnsi="Times New Roman" w:eastAsia="仿宋_GB2312" w:cs="Times New Roman"/>
                <w:bCs/>
                <w:color w:val="000000"/>
                <w:kern w:val="0"/>
                <w:sz w:val="22"/>
                <w:szCs w:val="20"/>
                <w:lang w:val="zh-CN" w:eastAsia="zh-CN" w:bidi="ar-SA"/>
              </w:rPr>
            </w:pPr>
            <w:r>
              <w:rPr>
                <w:rFonts w:hint="eastAsia" w:cs="Times New Roman"/>
                <w:szCs w:val="20"/>
              </w:rPr>
              <w:t>元/平方米/年</w:t>
            </w:r>
          </w:p>
        </w:tc>
        <w:tc>
          <w:tcPr>
            <w:tcW w:w="547" w:type="pct"/>
            <w:noWrap/>
            <w:vAlign w:val="center"/>
          </w:tcPr>
          <w:p>
            <w:pPr>
              <w:pStyle w:val="45"/>
              <w:keepNext w:val="0"/>
              <w:keepLines w:val="0"/>
              <w:suppressLineNumbers w:val="0"/>
              <w:spacing w:before="0" w:beforeAutospacing="0" w:after="0" w:afterAutospacing="0" w:line="240" w:lineRule="auto"/>
              <w:ind w:left="0" w:leftChars="0" w:right="0" w:rightChars="0" w:firstLine="0" w:firstLineChars="0"/>
              <w:rPr>
                <w:rFonts w:hint="eastAsia" w:ascii="Times New Roman" w:hAnsi="Times New Roman" w:eastAsia="仿宋_GB2312" w:cs="Times New Roman"/>
                <w:bCs/>
                <w:color w:val="000000"/>
                <w:kern w:val="0"/>
                <w:sz w:val="22"/>
                <w:szCs w:val="20"/>
                <w:lang w:val="zh-CN" w:eastAsia="zh-CN" w:bidi="ar-SA"/>
              </w:rPr>
            </w:pPr>
            <w:r>
              <w:rPr>
                <w:rFonts w:hint="eastAsia" w:cs="Times New Roman"/>
                <w:szCs w:val="20"/>
              </w:rPr>
              <w:t>控单价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8" w:hRule="atLeast"/>
        </w:trPr>
        <w:tc>
          <w:tcPr>
            <w:tcW w:w="395" w:type="pct"/>
            <w:vMerge w:val="restart"/>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r>
              <w:rPr>
                <w:rFonts w:hint="eastAsia" w:cs="Times New Roman"/>
                <w:szCs w:val="20"/>
              </w:rPr>
              <w:t>物业服务支出</w:t>
            </w:r>
          </w:p>
        </w:tc>
        <w:tc>
          <w:tcPr>
            <w:tcW w:w="395" w:type="pct"/>
            <w:vAlign w:val="center"/>
          </w:tcPr>
          <w:p>
            <w:pPr>
              <w:pStyle w:val="45"/>
              <w:keepNext w:val="0"/>
              <w:keepLines w:val="0"/>
              <w:suppressLineNumbers w:val="0"/>
              <w:spacing w:before="0" w:beforeAutospacing="0" w:after="0" w:afterAutospacing="0" w:line="240" w:lineRule="auto"/>
              <w:ind w:left="0" w:leftChars="0" w:right="0" w:rightChars="0" w:firstLine="0" w:firstLineChars="0"/>
              <w:rPr>
                <w:rFonts w:hint="default" w:ascii="Times New Roman" w:hAnsi="Times New Roman" w:eastAsia="仿宋_GB2312" w:cs="Times New Roman"/>
                <w:bCs/>
                <w:color w:val="000000"/>
                <w:kern w:val="0"/>
                <w:sz w:val="22"/>
                <w:szCs w:val="20"/>
                <w:lang w:val="zh-CN" w:eastAsia="zh-CN" w:bidi="ar-SA"/>
              </w:rPr>
            </w:pPr>
            <w:r>
              <w:rPr>
                <w:rFonts w:hint="eastAsia" w:cs="Times New Roman"/>
                <w:szCs w:val="20"/>
              </w:rPr>
              <w:t>工勤兼会议服务</w:t>
            </w:r>
          </w:p>
        </w:tc>
        <w:tc>
          <w:tcPr>
            <w:tcW w:w="752" w:type="pct"/>
            <w:vAlign w:val="center"/>
          </w:tcPr>
          <w:p>
            <w:pPr>
              <w:pStyle w:val="45"/>
              <w:keepNext w:val="0"/>
              <w:keepLines w:val="0"/>
              <w:suppressLineNumbers w:val="0"/>
              <w:spacing w:before="0" w:beforeAutospacing="0" w:after="0" w:afterAutospacing="0" w:line="240" w:lineRule="auto"/>
              <w:ind w:left="0" w:leftChars="0" w:right="0" w:rightChars="0" w:firstLine="0" w:firstLineChars="0"/>
              <w:rPr>
                <w:rFonts w:hint="eastAsia" w:ascii="Times New Roman" w:hAnsi="Times New Roman" w:eastAsia="仿宋_GB2312" w:cs="Times New Roman"/>
                <w:bCs/>
                <w:color w:val="000000"/>
                <w:kern w:val="0"/>
                <w:sz w:val="22"/>
                <w:szCs w:val="20"/>
                <w:lang w:val="zh-CN" w:eastAsia="zh-CN" w:bidi="ar-SA"/>
              </w:rPr>
            </w:pPr>
            <w:r>
              <w:rPr>
                <w:rFonts w:hint="eastAsia" w:cs="Times New Roman"/>
                <w:szCs w:val="20"/>
              </w:rPr>
              <w:t>工勤兼会议服务</w:t>
            </w:r>
          </w:p>
        </w:tc>
        <w:tc>
          <w:tcPr>
            <w:tcW w:w="1623" w:type="pct"/>
            <w:vAlign w:val="center"/>
          </w:tcPr>
          <w:p>
            <w:pPr>
              <w:pStyle w:val="45"/>
              <w:keepNext w:val="0"/>
              <w:keepLines w:val="0"/>
              <w:suppressLineNumbers w:val="0"/>
              <w:spacing w:before="0" w:beforeAutospacing="0" w:after="0" w:afterAutospacing="0" w:line="240" w:lineRule="auto"/>
              <w:ind w:left="0" w:leftChars="0" w:right="0" w:rightChars="0" w:firstLine="0" w:firstLineChars="0"/>
              <w:jc w:val="left"/>
              <w:rPr>
                <w:rFonts w:hint="eastAsia" w:ascii="Times New Roman" w:hAnsi="Times New Roman" w:eastAsia="仿宋_GB2312" w:cs="Times New Roman"/>
                <w:bCs/>
                <w:color w:val="000000"/>
                <w:kern w:val="0"/>
                <w:sz w:val="22"/>
                <w:szCs w:val="20"/>
                <w:lang w:val="zh-CN" w:eastAsia="zh-CN" w:bidi="ar-SA"/>
              </w:rPr>
            </w:pPr>
            <w:r>
              <w:rPr>
                <w:rFonts w:hint="eastAsia" w:cs="Times New Roman"/>
                <w:szCs w:val="20"/>
              </w:rPr>
              <w:t>会议服务</w:t>
            </w:r>
            <w:r>
              <w:rPr>
                <w:rFonts w:hint="default" w:cs="Times New Roman"/>
                <w:szCs w:val="20"/>
              </w:rPr>
              <w:t>(</w:t>
            </w:r>
            <w:r>
              <w:rPr>
                <w:rFonts w:hint="eastAsia" w:cs="Times New Roman"/>
                <w:szCs w:val="20"/>
              </w:rPr>
              <w:t>会程服务、会场布置、会议室清洁、会议室绿植简单养护等</w:t>
            </w:r>
            <w:r>
              <w:rPr>
                <w:rFonts w:hint="default" w:cs="Times New Roman"/>
                <w:szCs w:val="20"/>
              </w:rPr>
              <w:t>)</w:t>
            </w:r>
            <w:r>
              <w:rPr>
                <w:rFonts w:hint="eastAsia" w:cs="Times New Roman"/>
                <w:szCs w:val="20"/>
                <w:lang w:eastAsia="zh-CN"/>
              </w:rPr>
              <w:t>；</w:t>
            </w:r>
            <w:r>
              <w:rPr>
                <w:rFonts w:hint="eastAsia" w:cs="Times New Roman"/>
                <w:szCs w:val="20"/>
              </w:rPr>
              <w:t>副处级以上领导办公室服务</w:t>
            </w:r>
            <w:r>
              <w:rPr>
                <w:rFonts w:hint="default" w:cs="Times New Roman"/>
                <w:szCs w:val="20"/>
              </w:rPr>
              <w:t>(</w:t>
            </w:r>
            <w:r>
              <w:rPr>
                <w:rFonts w:hint="eastAsia" w:cs="Times New Roman"/>
                <w:szCs w:val="20"/>
              </w:rPr>
              <w:t>卫生清洁、办公用品领用、绿植简单养护等</w:t>
            </w:r>
            <w:r>
              <w:rPr>
                <w:rFonts w:hint="default" w:cs="Times New Roman"/>
                <w:szCs w:val="20"/>
              </w:rPr>
              <w:t>)</w:t>
            </w:r>
            <w:r>
              <w:rPr>
                <w:rFonts w:hint="eastAsia" w:cs="Times New Roman"/>
                <w:szCs w:val="20"/>
                <w:lang w:eastAsia="zh-CN"/>
              </w:rPr>
              <w:t>；</w:t>
            </w:r>
            <w:r>
              <w:rPr>
                <w:rFonts w:hint="eastAsia" w:cs="Times New Roman"/>
                <w:szCs w:val="20"/>
              </w:rPr>
              <w:t>其他工勤服务（保障技术支持或其他辅助性工作）</w:t>
            </w:r>
          </w:p>
        </w:tc>
        <w:tc>
          <w:tcPr>
            <w:tcW w:w="859" w:type="pct"/>
            <w:noWrap/>
            <w:vAlign w:val="center"/>
          </w:tcPr>
          <w:p>
            <w:pPr>
              <w:pStyle w:val="45"/>
              <w:keepNext w:val="0"/>
              <w:keepLines w:val="0"/>
              <w:suppressLineNumbers w:val="0"/>
              <w:spacing w:before="0" w:beforeAutospacing="0" w:after="0" w:afterAutospacing="0" w:line="240" w:lineRule="auto"/>
              <w:ind w:left="0" w:leftChars="0" w:right="0" w:rightChars="0" w:firstLine="0" w:firstLineChars="0"/>
              <w:rPr>
                <w:rFonts w:hint="default" w:ascii="Times New Roman" w:hAnsi="Times New Roman" w:eastAsia="仿宋_GB2312" w:cs="Times New Roman"/>
                <w:bCs/>
                <w:color w:val="000000"/>
                <w:kern w:val="0"/>
                <w:sz w:val="22"/>
                <w:szCs w:val="20"/>
                <w:lang w:val="zh-CN" w:eastAsia="zh-CN" w:bidi="ar-SA"/>
              </w:rPr>
            </w:pPr>
            <w:r>
              <w:rPr>
                <w:rFonts w:hint="default" w:cs="Times New Roman"/>
                <w:szCs w:val="20"/>
              </w:rPr>
              <w:t>8.00</w:t>
            </w:r>
          </w:p>
        </w:tc>
        <w:tc>
          <w:tcPr>
            <w:tcW w:w="426" w:type="pct"/>
            <w:noWrap/>
            <w:vAlign w:val="center"/>
          </w:tcPr>
          <w:p>
            <w:pPr>
              <w:pStyle w:val="45"/>
              <w:keepNext w:val="0"/>
              <w:keepLines w:val="0"/>
              <w:suppressLineNumbers w:val="0"/>
              <w:spacing w:before="0" w:beforeAutospacing="0" w:after="0" w:afterAutospacing="0" w:line="240" w:lineRule="auto"/>
              <w:ind w:left="0" w:leftChars="0" w:right="0" w:rightChars="0" w:firstLine="0" w:firstLineChars="0"/>
              <w:rPr>
                <w:rFonts w:hint="eastAsia" w:ascii="Times New Roman" w:hAnsi="Times New Roman" w:eastAsia="仿宋_GB2312" w:cs="Times New Roman"/>
                <w:bCs/>
                <w:color w:val="000000"/>
                <w:kern w:val="0"/>
                <w:sz w:val="22"/>
                <w:szCs w:val="20"/>
                <w:lang w:val="zh-CN" w:eastAsia="zh-CN" w:bidi="ar-SA"/>
              </w:rPr>
            </w:pPr>
            <w:r>
              <w:rPr>
                <w:rFonts w:hint="eastAsia" w:cs="Times New Roman"/>
                <w:szCs w:val="20"/>
              </w:rPr>
              <w:t>元/平方米/月</w:t>
            </w:r>
          </w:p>
        </w:tc>
        <w:tc>
          <w:tcPr>
            <w:tcW w:w="547" w:type="pct"/>
            <w:noWrap/>
            <w:vAlign w:val="center"/>
          </w:tcPr>
          <w:p>
            <w:pPr>
              <w:pStyle w:val="45"/>
              <w:keepNext w:val="0"/>
              <w:keepLines w:val="0"/>
              <w:suppressLineNumbers w:val="0"/>
              <w:spacing w:before="0" w:beforeAutospacing="0" w:after="0" w:afterAutospacing="0" w:line="240" w:lineRule="auto"/>
              <w:ind w:left="0" w:leftChars="0" w:right="0" w:rightChars="0" w:firstLine="0" w:firstLineChars="0"/>
              <w:rPr>
                <w:rFonts w:hint="eastAsia" w:ascii="Times New Roman" w:hAnsi="Times New Roman" w:eastAsia="仿宋_GB2312" w:cs="Times New Roman"/>
                <w:bCs/>
                <w:color w:val="000000"/>
                <w:kern w:val="0"/>
                <w:sz w:val="22"/>
                <w:szCs w:val="20"/>
                <w:lang w:val="zh-CN" w:eastAsia="zh-CN" w:bidi="ar-SA"/>
              </w:rPr>
            </w:pPr>
            <w:r>
              <w:rPr>
                <w:rFonts w:hint="eastAsia" w:cs="Times New Roman"/>
                <w:szCs w:val="20"/>
              </w:rPr>
              <w:t>控单价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8" w:hRule="atLeast"/>
        </w:trPr>
        <w:tc>
          <w:tcPr>
            <w:tcW w:w="395" w:type="pct"/>
            <w:vMerge w:val="continue"/>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p>
        </w:tc>
        <w:tc>
          <w:tcPr>
            <w:tcW w:w="395" w:type="pct"/>
            <w:vAlign w:val="center"/>
          </w:tcPr>
          <w:p>
            <w:pPr>
              <w:pStyle w:val="45"/>
              <w:keepNext w:val="0"/>
              <w:keepLines w:val="0"/>
              <w:suppressLineNumbers w:val="0"/>
              <w:spacing w:before="0" w:beforeAutospacing="0" w:after="0" w:afterAutospacing="0" w:line="240" w:lineRule="auto"/>
              <w:ind w:left="0" w:leftChars="0" w:right="0" w:rightChars="0" w:firstLine="0" w:firstLineChars="0"/>
              <w:rPr>
                <w:rFonts w:hint="default" w:ascii="Times New Roman" w:hAnsi="Times New Roman" w:eastAsia="仿宋_GB2312" w:cs="Times New Roman"/>
                <w:bCs/>
                <w:color w:val="000000"/>
                <w:kern w:val="0"/>
                <w:sz w:val="22"/>
                <w:szCs w:val="20"/>
                <w:lang w:val="zh-CN" w:eastAsia="zh-CN" w:bidi="ar-SA"/>
              </w:rPr>
            </w:pPr>
            <w:r>
              <w:rPr>
                <w:rFonts w:hint="eastAsia" w:cs="Times New Roman"/>
                <w:szCs w:val="20"/>
              </w:rPr>
              <w:t>绿化服务</w:t>
            </w:r>
          </w:p>
        </w:tc>
        <w:tc>
          <w:tcPr>
            <w:tcW w:w="752" w:type="pct"/>
            <w:vAlign w:val="center"/>
          </w:tcPr>
          <w:p>
            <w:pPr>
              <w:pStyle w:val="45"/>
              <w:keepNext w:val="0"/>
              <w:keepLines w:val="0"/>
              <w:suppressLineNumbers w:val="0"/>
              <w:spacing w:before="0" w:beforeAutospacing="0" w:after="0" w:afterAutospacing="0" w:line="240" w:lineRule="auto"/>
              <w:ind w:left="0" w:leftChars="0" w:right="0" w:rightChars="0" w:firstLine="0" w:firstLineChars="0"/>
              <w:rPr>
                <w:rFonts w:hint="eastAsia" w:ascii="Times New Roman" w:hAnsi="Times New Roman" w:eastAsia="仿宋_GB2312" w:cs="Times New Roman"/>
                <w:bCs/>
                <w:color w:val="000000"/>
                <w:kern w:val="0"/>
                <w:sz w:val="22"/>
                <w:szCs w:val="20"/>
                <w:lang w:val="zh-CN" w:eastAsia="zh-CN" w:bidi="ar-SA"/>
              </w:rPr>
            </w:pPr>
            <w:r>
              <w:rPr>
                <w:rFonts w:hint="eastAsia" w:cs="Times New Roman"/>
                <w:szCs w:val="20"/>
              </w:rPr>
              <w:t>绿化养护</w:t>
            </w:r>
          </w:p>
        </w:tc>
        <w:tc>
          <w:tcPr>
            <w:tcW w:w="1623" w:type="pct"/>
            <w:vAlign w:val="center"/>
          </w:tcPr>
          <w:p>
            <w:pPr>
              <w:pStyle w:val="45"/>
              <w:keepNext w:val="0"/>
              <w:keepLines w:val="0"/>
              <w:suppressLineNumbers w:val="0"/>
              <w:spacing w:before="0" w:beforeAutospacing="0" w:after="0" w:afterAutospacing="0" w:line="240" w:lineRule="auto"/>
              <w:ind w:left="0" w:leftChars="0" w:right="0" w:rightChars="0" w:firstLine="0" w:firstLineChars="0"/>
              <w:jc w:val="left"/>
              <w:rPr>
                <w:rFonts w:hint="eastAsia" w:ascii="Times New Roman" w:hAnsi="Times New Roman" w:eastAsia="仿宋_GB2312" w:cs="Times New Roman"/>
                <w:bCs/>
                <w:color w:val="000000"/>
                <w:kern w:val="0"/>
                <w:sz w:val="22"/>
                <w:szCs w:val="20"/>
                <w:lang w:val="zh-CN" w:eastAsia="zh-CN" w:bidi="ar-SA"/>
              </w:rPr>
            </w:pPr>
            <w:r>
              <w:rPr>
                <w:rFonts w:hint="eastAsia" w:cs="Times New Roman"/>
                <w:szCs w:val="20"/>
              </w:rPr>
              <w:t>对绿化景观进行修剪、浇水、拔草、复壮、施肥、病虫害防治及局部景观提升等常规养护工作</w:t>
            </w:r>
            <w:r>
              <w:rPr>
                <w:rFonts w:hint="eastAsia" w:cs="Times New Roman"/>
                <w:szCs w:val="20"/>
                <w:lang w:eastAsia="zh-CN"/>
              </w:rPr>
              <w:t>；</w:t>
            </w:r>
            <w:r>
              <w:rPr>
                <w:rFonts w:hint="eastAsia" w:cs="Times New Roman"/>
                <w:szCs w:val="20"/>
              </w:rPr>
              <w:t>日常绿植养护巡查、防火巡查等</w:t>
            </w:r>
          </w:p>
        </w:tc>
        <w:tc>
          <w:tcPr>
            <w:tcW w:w="859" w:type="pct"/>
            <w:noWrap/>
            <w:vAlign w:val="center"/>
          </w:tcPr>
          <w:p>
            <w:pPr>
              <w:pStyle w:val="45"/>
              <w:keepNext w:val="0"/>
              <w:keepLines w:val="0"/>
              <w:suppressLineNumbers w:val="0"/>
              <w:spacing w:before="0" w:beforeAutospacing="0" w:after="0" w:afterAutospacing="0" w:line="240" w:lineRule="auto"/>
              <w:ind w:left="0" w:leftChars="0" w:right="0" w:rightChars="0" w:firstLine="0" w:firstLineChars="0"/>
              <w:rPr>
                <w:rFonts w:hint="default" w:ascii="Times New Roman" w:hAnsi="Times New Roman" w:eastAsia="仿宋_GB2312" w:cs="Times New Roman"/>
                <w:bCs/>
                <w:color w:val="000000"/>
                <w:kern w:val="0"/>
                <w:sz w:val="22"/>
                <w:szCs w:val="20"/>
                <w:lang w:val="zh-CN" w:eastAsia="zh-CN" w:bidi="ar-SA"/>
              </w:rPr>
            </w:pPr>
            <w:r>
              <w:rPr>
                <w:rFonts w:hint="default" w:cs="Times New Roman"/>
                <w:szCs w:val="20"/>
              </w:rPr>
              <w:t>39,000.00</w:t>
            </w:r>
          </w:p>
        </w:tc>
        <w:tc>
          <w:tcPr>
            <w:tcW w:w="426" w:type="pct"/>
            <w:noWrap/>
            <w:vAlign w:val="center"/>
          </w:tcPr>
          <w:p>
            <w:pPr>
              <w:pStyle w:val="45"/>
              <w:keepNext w:val="0"/>
              <w:keepLines w:val="0"/>
              <w:suppressLineNumbers w:val="0"/>
              <w:spacing w:before="0" w:beforeAutospacing="0" w:after="0" w:afterAutospacing="0" w:line="240" w:lineRule="auto"/>
              <w:ind w:left="0" w:leftChars="0" w:right="0" w:rightChars="0" w:firstLine="0" w:firstLineChars="0"/>
              <w:rPr>
                <w:rFonts w:hint="eastAsia" w:ascii="Times New Roman" w:hAnsi="Times New Roman" w:eastAsia="仿宋_GB2312" w:cs="Times New Roman"/>
                <w:bCs/>
                <w:color w:val="000000"/>
                <w:kern w:val="0"/>
                <w:sz w:val="22"/>
                <w:szCs w:val="20"/>
                <w:lang w:val="zh-CN" w:eastAsia="zh-CN" w:bidi="ar-SA"/>
              </w:rPr>
            </w:pPr>
            <w:r>
              <w:rPr>
                <w:rFonts w:hint="eastAsia" w:cs="Times New Roman"/>
                <w:szCs w:val="20"/>
              </w:rPr>
              <w:t>元/年</w:t>
            </w:r>
          </w:p>
        </w:tc>
        <w:tc>
          <w:tcPr>
            <w:tcW w:w="547" w:type="pct"/>
            <w:noWrap/>
            <w:vAlign w:val="center"/>
          </w:tcPr>
          <w:p>
            <w:pPr>
              <w:pStyle w:val="45"/>
              <w:keepNext w:val="0"/>
              <w:keepLines w:val="0"/>
              <w:suppressLineNumbers w:val="0"/>
              <w:spacing w:before="0" w:beforeAutospacing="0" w:after="0" w:afterAutospacing="0" w:line="240" w:lineRule="auto"/>
              <w:ind w:left="0" w:leftChars="0" w:right="0" w:rightChars="0" w:firstLine="0" w:firstLineChars="0"/>
              <w:rPr>
                <w:rFonts w:hint="eastAsia" w:ascii="Times New Roman" w:hAnsi="Times New Roman" w:eastAsia="仿宋_GB2312" w:cs="Times New Roman"/>
                <w:bCs/>
                <w:color w:val="000000"/>
                <w:kern w:val="0"/>
                <w:sz w:val="22"/>
                <w:szCs w:val="20"/>
                <w:lang w:val="zh-CN" w:eastAsia="zh-CN" w:bidi="ar-SA"/>
              </w:rPr>
            </w:pPr>
            <w:r>
              <w:rPr>
                <w:rFonts w:hint="eastAsia" w:cs="Times New Roman"/>
                <w:szCs w:val="20"/>
              </w:rPr>
              <w:t>控总额</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8" w:hRule="atLeast"/>
        </w:trPr>
        <w:tc>
          <w:tcPr>
            <w:tcW w:w="395" w:type="pct"/>
            <w:vMerge w:val="continue"/>
            <w:vAlign w:val="center"/>
          </w:tcPr>
          <w:p>
            <w:pPr>
              <w:pStyle w:val="45"/>
              <w:keepNext w:val="0"/>
              <w:keepLines w:val="0"/>
              <w:suppressLineNumbers w:val="0"/>
              <w:spacing w:before="0" w:beforeAutospacing="0" w:after="0" w:afterAutospacing="0" w:line="240" w:lineRule="auto"/>
              <w:ind w:left="0" w:right="0"/>
              <w:rPr>
                <w:rFonts w:hint="default" w:cs="Times New Roman"/>
                <w:szCs w:val="20"/>
              </w:rPr>
            </w:pPr>
          </w:p>
        </w:tc>
        <w:tc>
          <w:tcPr>
            <w:tcW w:w="395" w:type="pct"/>
            <w:vAlign w:val="center"/>
          </w:tcPr>
          <w:p>
            <w:pPr>
              <w:pStyle w:val="45"/>
              <w:keepNext w:val="0"/>
              <w:keepLines w:val="0"/>
              <w:suppressLineNumbers w:val="0"/>
              <w:spacing w:before="0" w:beforeAutospacing="0" w:after="0" w:afterAutospacing="0" w:line="240" w:lineRule="auto"/>
              <w:ind w:left="0" w:leftChars="0" w:right="0" w:rightChars="0" w:firstLine="0" w:firstLineChars="0"/>
              <w:rPr>
                <w:rFonts w:hint="default" w:ascii="Times New Roman" w:hAnsi="Times New Roman" w:eastAsia="仿宋_GB2312" w:cs="Times New Roman"/>
                <w:bCs/>
                <w:color w:val="000000"/>
                <w:kern w:val="0"/>
                <w:sz w:val="22"/>
                <w:szCs w:val="20"/>
                <w:lang w:val="zh-CN" w:eastAsia="zh-CN" w:bidi="ar-SA"/>
              </w:rPr>
            </w:pPr>
            <w:r>
              <w:rPr>
                <w:rFonts w:hint="eastAsia" w:cs="Times New Roman"/>
                <w:szCs w:val="20"/>
              </w:rPr>
              <w:t>餐饮服务</w:t>
            </w:r>
          </w:p>
        </w:tc>
        <w:tc>
          <w:tcPr>
            <w:tcW w:w="752" w:type="pct"/>
            <w:vAlign w:val="center"/>
          </w:tcPr>
          <w:p>
            <w:pPr>
              <w:pStyle w:val="45"/>
              <w:keepNext w:val="0"/>
              <w:keepLines w:val="0"/>
              <w:suppressLineNumbers w:val="0"/>
              <w:spacing w:before="0" w:beforeAutospacing="0" w:after="0" w:afterAutospacing="0" w:line="240" w:lineRule="auto"/>
              <w:ind w:left="0" w:leftChars="0" w:right="0" w:rightChars="0" w:firstLine="0" w:firstLineChars="0"/>
              <w:rPr>
                <w:rFonts w:hint="eastAsia" w:ascii="Times New Roman" w:hAnsi="Times New Roman" w:eastAsia="仿宋_GB2312" w:cs="Times New Roman"/>
                <w:bCs/>
                <w:color w:val="000000"/>
                <w:kern w:val="0"/>
                <w:sz w:val="22"/>
                <w:szCs w:val="20"/>
                <w:lang w:val="zh-CN" w:eastAsia="zh-CN" w:bidi="ar-SA"/>
              </w:rPr>
            </w:pPr>
            <w:r>
              <w:rPr>
                <w:rFonts w:hint="eastAsia" w:cs="Times New Roman"/>
                <w:szCs w:val="20"/>
              </w:rPr>
              <w:t>餐饮服务</w:t>
            </w:r>
          </w:p>
        </w:tc>
        <w:tc>
          <w:tcPr>
            <w:tcW w:w="1623" w:type="pct"/>
            <w:vAlign w:val="center"/>
          </w:tcPr>
          <w:p>
            <w:pPr>
              <w:pStyle w:val="45"/>
              <w:keepNext w:val="0"/>
              <w:keepLines w:val="0"/>
              <w:suppressLineNumbers w:val="0"/>
              <w:spacing w:before="0" w:beforeAutospacing="0" w:after="0" w:afterAutospacing="0" w:line="240" w:lineRule="auto"/>
              <w:ind w:left="0" w:leftChars="0" w:right="0" w:rightChars="0" w:firstLine="0" w:firstLineChars="0"/>
              <w:jc w:val="left"/>
              <w:rPr>
                <w:rFonts w:hint="eastAsia" w:ascii="Times New Roman" w:hAnsi="Times New Roman" w:eastAsia="仿宋_GB2312" w:cs="Times New Roman"/>
                <w:bCs/>
                <w:color w:val="000000"/>
                <w:kern w:val="0"/>
                <w:sz w:val="22"/>
                <w:szCs w:val="20"/>
                <w:lang w:val="zh-CN" w:eastAsia="zh-CN" w:bidi="ar-SA"/>
              </w:rPr>
            </w:pPr>
            <w:r>
              <w:rPr>
                <w:rFonts w:hint="eastAsia" w:cs="Times New Roman"/>
                <w:szCs w:val="20"/>
              </w:rPr>
              <w:t>餐厅的食材加工、餐饮供应服务</w:t>
            </w:r>
            <w:r>
              <w:rPr>
                <w:rFonts w:hint="eastAsia" w:cs="Times New Roman"/>
                <w:szCs w:val="20"/>
                <w:lang w:eastAsia="zh-CN"/>
              </w:rPr>
              <w:t>；</w:t>
            </w:r>
            <w:r>
              <w:rPr>
                <w:rFonts w:hint="eastAsia" w:cs="Times New Roman"/>
                <w:szCs w:val="20"/>
              </w:rPr>
              <w:t>餐厅设施设备的维护</w:t>
            </w:r>
            <w:r>
              <w:rPr>
                <w:rFonts w:hint="eastAsia" w:cs="Times New Roman"/>
                <w:szCs w:val="20"/>
                <w:lang w:eastAsia="zh-CN"/>
              </w:rPr>
              <w:t>；</w:t>
            </w:r>
            <w:r>
              <w:rPr>
                <w:rFonts w:hint="eastAsia" w:cs="Times New Roman"/>
                <w:szCs w:val="20"/>
              </w:rPr>
              <w:t>餐厅及三包区域的卫生清洁工作</w:t>
            </w:r>
          </w:p>
        </w:tc>
        <w:tc>
          <w:tcPr>
            <w:tcW w:w="859" w:type="pct"/>
            <w:noWrap/>
            <w:vAlign w:val="center"/>
          </w:tcPr>
          <w:p>
            <w:pPr>
              <w:pStyle w:val="45"/>
              <w:keepNext w:val="0"/>
              <w:keepLines w:val="0"/>
              <w:suppressLineNumbers w:val="0"/>
              <w:spacing w:before="0" w:beforeAutospacing="0" w:after="0" w:afterAutospacing="0" w:line="240" w:lineRule="auto"/>
              <w:ind w:left="0" w:leftChars="0" w:right="0" w:rightChars="0" w:firstLine="0" w:firstLineChars="0"/>
              <w:rPr>
                <w:rFonts w:hint="default" w:ascii="Times New Roman" w:hAnsi="Times New Roman" w:eastAsia="仿宋_GB2312" w:cs="Times New Roman"/>
                <w:bCs/>
                <w:color w:val="000000"/>
                <w:kern w:val="0"/>
                <w:sz w:val="22"/>
                <w:szCs w:val="20"/>
                <w:lang w:val="zh-CN" w:eastAsia="zh-CN" w:bidi="ar-SA"/>
              </w:rPr>
            </w:pPr>
            <w:r>
              <w:rPr>
                <w:rFonts w:hint="default" w:ascii="Times New Roman" w:hAnsi="Times New Roman" w:eastAsia="等线" w:cs="Times New Roman"/>
                <w:sz w:val="20"/>
                <w:szCs w:val="20"/>
              </w:rPr>
              <w:t>53.21</w:t>
            </w:r>
          </w:p>
        </w:tc>
        <w:tc>
          <w:tcPr>
            <w:tcW w:w="426" w:type="pct"/>
            <w:noWrap/>
            <w:vAlign w:val="center"/>
          </w:tcPr>
          <w:p>
            <w:pPr>
              <w:pStyle w:val="45"/>
              <w:keepNext w:val="0"/>
              <w:keepLines w:val="0"/>
              <w:suppressLineNumbers w:val="0"/>
              <w:spacing w:before="0" w:beforeAutospacing="0" w:after="0" w:afterAutospacing="0" w:line="240" w:lineRule="auto"/>
              <w:ind w:left="0" w:leftChars="0" w:right="0" w:rightChars="0" w:firstLine="0" w:firstLineChars="0"/>
              <w:rPr>
                <w:rFonts w:hint="eastAsia" w:ascii="Times New Roman" w:hAnsi="Times New Roman" w:eastAsia="仿宋_GB2312" w:cs="Times New Roman"/>
                <w:bCs/>
                <w:color w:val="000000"/>
                <w:kern w:val="0"/>
                <w:sz w:val="22"/>
                <w:szCs w:val="20"/>
                <w:lang w:val="zh-CN" w:eastAsia="zh-CN" w:bidi="ar-SA"/>
              </w:rPr>
            </w:pPr>
            <w:r>
              <w:rPr>
                <w:rFonts w:hint="eastAsia" w:cs="Times New Roman"/>
                <w:szCs w:val="20"/>
              </w:rPr>
              <w:t>元/人/日</w:t>
            </w:r>
          </w:p>
        </w:tc>
        <w:tc>
          <w:tcPr>
            <w:tcW w:w="547" w:type="pct"/>
            <w:noWrap/>
            <w:vAlign w:val="center"/>
          </w:tcPr>
          <w:p>
            <w:pPr>
              <w:pStyle w:val="45"/>
              <w:keepNext w:val="0"/>
              <w:keepLines w:val="0"/>
              <w:suppressLineNumbers w:val="0"/>
              <w:spacing w:before="0" w:beforeAutospacing="0" w:after="0" w:afterAutospacing="0" w:line="240" w:lineRule="auto"/>
              <w:ind w:left="0" w:leftChars="0" w:right="0" w:rightChars="0" w:firstLine="0" w:firstLineChars="0"/>
              <w:rPr>
                <w:rFonts w:hint="eastAsia" w:ascii="Times New Roman" w:hAnsi="Times New Roman" w:eastAsia="仿宋_GB2312" w:cs="Times New Roman"/>
                <w:bCs/>
                <w:color w:val="000000"/>
                <w:kern w:val="0"/>
                <w:sz w:val="22"/>
                <w:szCs w:val="20"/>
                <w:lang w:val="zh-CN" w:eastAsia="zh-CN" w:bidi="ar-SA"/>
              </w:rPr>
            </w:pPr>
            <w:r>
              <w:rPr>
                <w:rFonts w:hint="eastAsia" w:cs="Times New Roman"/>
                <w:szCs w:val="20"/>
              </w:rPr>
              <w:t>控单价</w:t>
            </w:r>
          </w:p>
        </w:tc>
      </w:tr>
    </w:tbl>
    <w:p>
      <w:pPr>
        <w:rPr>
          <w:rFonts w:hint="eastAsia" w:eastAsia="仿宋_GB2312"/>
          <w:lang w:val="en-US" w:eastAsia="zh-CN"/>
        </w:rPr>
      </w:pPr>
    </w:p>
    <w:sectPr>
      <w:footerReference r:id="rId5" w:type="default"/>
      <w:pgSz w:w="11906" w:h="16838"/>
      <w:pgMar w:top="2098" w:right="1474" w:bottom="1984" w:left="1587" w:header="851" w:footer="130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0"/>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
    <w:altName w:val="方正楷体_GBK"/>
    <w:panose1 w:val="02010609060101010101"/>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Tahoma">
    <w:altName w:val="DejaVu Sans"/>
    <w:panose1 w:val="020B0604030504040204"/>
    <w:charset w:val="00"/>
    <w:family w:val="swiss"/>
    <w:pitch w:val="default"/>
    <w:sig w:usb0="00000000" w:usb1="00000000" w:usb2="00000029" w:usb3="00000000" w:csb0="200101FF" w:csb1="20280000"/>
  </w:font>
  <w:font w:name="HiddenHorzOCl">
    <w:altName w:val="仿宋_GB2312"/>
    <w:panose1 w:val="00000000000000000000"/>
    <w:charset w:val="86"/>
    <w:family w:val="swiss"/>
    <w:pitch w:val="default"/>
    <w:sig w:usb0="00000000" w:usb1="00000000" w:usb2="00000010" w:usb3="00000000" w:csb0="00040000" w:csb1="00000000"/>
  </w:font>
  <w:font w:name="FangSong_GB2312">
    <w:panose1 w:val="02010609030101010101"/>
    <w:charset w:val="86"/>
    <w:family w:val="auto"/>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Segoe UI">
    <w:altName w:val="Noto Music"/>
    <w:panose1 w:val="020B0502040204020203"/>
    <w:charset w:val="00"/>
    <w:family w:val="swiss"/>
    <w:pitch w:val="default"/>
    <w:sig w:usb0="00000000" w:usb1="00000000" w:usb2="00000009" w:usb3="00000000" w:csb0="200001FF" w:csb1="00000000"/>
  </w:font>
  <w:font w:name="等线">
    <w:altName w:val="汉仪中宋简"/>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Segoe UI Symbol">
    <w:altName w:val="Noto Sans"/>
    <w:panose1 w:val="020B0502040204020203"/>
    <w:charset w:val="00"/>
    <w:family w:val="swiss"/>
    <w:pitch w:val="default"/>
    <w:sig w:usb0="00000000" w:usb1="00000000" w:usb2="00040000" w:usb3="04000000" w:csb0="00000001" w:csb1="4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Noto Music">
    <w:panose1 w:val="020B0502040504020204"/>
    <w:charset w:val="00"/>
    <w:family w:val="auto"/>
    <w:pitch w:val="default"/>
    <w:sig w:usb0="00000003" w:usb1="02006000" w:usb2="01000000" w:usb3="00000000" w:csb0="00000001" w:csb1="00000000"/>
  </w:font>
  <w:font w:name="Noto Sans Syriac Eastern">
    <w:panose1 w:val="02040503050306020203"/>
    <w:charset w:val="86"/>
    <w:family w:val="auto"/>
    <w:pitch w:val="default"/>
    <w:sig w:usb0="00000000" w:usb1="00000000" w:usb2="00000080" w:usb3="00000000" w:csb0="203E0161" w:csb1="D7FF0000"/>
  </w:font>
  <w:font w:name="方正仿宋_GBK">
    <w:panose1 w:val="02000000000000000000"/>
    <w:charset w:val="86"/>
    <w:family w:val="auto"/>
    <w:pitch w:val="default"/>
    <w:sig w:usb0="00000001" w:usb1="08000000" w:usb2="00000000" w:usb3="00000000" w:csb0="00040000" w:csb1="00000000"/>
  </w:font>
  <w:font w:name="Noto Sans">
    <w:panose1 w:val="020B0502040504020204"/>
    <w:charset w:val="00"/>
    <w:family w:val="auto"/>
    <w:pitch w:val="default"/>
    <w:sig w:usb0="E00002FF" w:usb1="4000201F" w:usb2="08000029" w:usb3="00100000" w:csb0="0000019F" w:csb1="00000000"/>
  </w:font>
  <w:font w:name="方正宋体S-超大字符集">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0" w:leftChars="0" w:firstLine="0" w:firstLineChars="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1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0" w:leftChars="0" w:firstLine="0" w:firstLineChars="0"/>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dwRadHQIAACsEAAAOAAAAZHJz&#10;L2Uyb0RvYy54bWytU82O0zAQviPxDpbvNGmBVV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B3BFp0dAgAAKwQAAA4AAAAAAAAAAQAgAAAANQEAAGRycy9lMm9Eb2MueG1sUEsF&#10;BgAAAAAGAAYAWQEAAMQFAAAAAA==&#10;">
              <v:fill on="f" focussize="0,0"/>
              <v:stroke on="f" weight="0.5pt"/>
              <v:imagedata o:title=""/>
              <o:lock v:ext="edit" aspectratio="f"/>
              <v:textbox inset="0mm,0mm,0mm,0mm" style="mso-fit-shape-to-text:t;">
                <w:txbxContent>
                  <w:p>
                    <w:pPr>
                      <w:pStyle w:val="1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0" w:leftChars="0" w:firstLine="0" w:firstLineChars="0"/>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EOqPxwCAAArBAAADgAAAAAAAAABACAAAAA1AQAAZHJzL2Uyb0RvYy54bWxQSwUG&#10;AAAAAAYABgBZAQAAwwUAAAAA&#10;">
              <v:fill on="f" focussize="0,0"/>
              <v:stroke on="f" weight="0.5pt"/>
              <v:imagedata o:title=""/>
              <o:lock v:ext="edit" aspectratio="f"/>
              <v:textbox inset="0mm,0mm,0mm,0mm" style="mso-fit-shape-to-text:t;">
                <w:txbxContent>
                  <w:p>
                    <w:pPr>
                      <w:pStyle w:val="1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712391"/>
    <w:multiLevelType w:val="multilevel"/>
    <w:tmpl w:val="07712391"/>
    <w:lvl w:ilvl="0" w:tentative="0">
      <w:start w:val="1"/>
      <w:numFmt w:val="chineseCountingThousand"/>
      <w:lvlText w:val="(%1)"/>
      <w:lvlJc w:val="left"/>
      <w:pPr>
        <w:ind w:left="1000" w:hanging="440"/>
      </w:p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1">
    <w:nsid w:val="08E54EE2"/>
    <w:multiLevelType w:val="multilevel"/>
    <w:tmpl w:val="08E54EE2"/>
    <w:lvl w:ilvl="0" w:tentative="0">
      <w:start w:val="1"/>
      <w:numFmt w:val="chineseCounting"/>
      <w:suff w:val="nothing"/>
      <w:lvlText w:val="第%1章 "/>
      <w:lvlJc w:val="left"/>
      <w:pPr>
        <w:ind w:left="432" w:hanging="432"/>
      </w:pPr>
      <w:rPr>
        <w:rFonts w:hint="eastAsia"/>
      </w:rPr>
    </w:lvl>
    <w:lvl w:ilvl="1" w:tentative="0">
      <w:start w:val="1"/>
      <w:numFmt w:val="decimal"/>
      <w:isLgl/>
      <w:suff w:val="space"/>
      <w:lvlText w:val="%1.%2."/>
      <w:lvlJc w:val="left"/>
      <w:pPr>
        <w:ind w:left="1175" w:hanging="575"/>
      </w:pPr>
      <w:rPr>
        <w:rFonts w:hint="eastAsia"/>
        <w:sz w:val="32"/>
        <w:szCs w:val="32"/>
      </w:rPr>
    </w:lvl>
    <w:lvl w:ilvl="2" w:tentative="0">
      <w:start w:val="1"/>
      <w:numFmt w:val="decimal"/>
      <w:pStyle w:val="5"/>
      <w:isLgl/>
      <w:suff w:val="nothing"/>
      <w:lvlText w:val="%1.%2.%3."/>
      <w:lvlJc w:val="left"/>
      <w:pPr>
        <w:ind w:left="1320" w:hanging="720"/>
      </w:pPr>
      <w:rPr>
        <w:rFonts w:hint="eastAsia"/>
        <w:sz w:val="32"/>
        <w:szCs w:val="32"/>
      </w:rPr>
    </w:lvl>
    <w:lvl w:ilvl="3" w:tentative="0">
      <w:start w:val="1"/>
      <w:numFmt w:val="decimal"/>
      <w:isLgl/>
      <w:lvlText w:val="%1.%2.%3.%4."/>
      <w:lvlJc w:val="left"/>
      <w:pPr>
        <w:ind w:left="1464" w:hanging="864"/>
      </w:pPr>
      <w:rPr>
        <w:rFonts w:hint="eastAsia"/>
        <w:sz w:val="28"/>
        <w:szCs w:val="28"/>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2">
    <w:nsid w:val="610671B8"/>
    <w:multiLevelType w:val="multilevel"/>
    <w:tmpl w:val="610671B8"/>
    <w:lvl w:ilvl="0" w:tentative="0">
      <w:start w:val="1"/>
      <w:numFmt w:val="chineseCountingThousand"/>
      <w:suff w:val="nothing"/>
      <w:lvlText w:val="%1、"/>
      <w:lvlJc w:val="left"/>
      <w:pPr>
        <w:ind w:left="425" w:hanging="425"/>
      </w:pPr>
      <w:rPr>
        <w:rFonts w:hint="eastAsia"/>
      </w:rPr>
    </w:lvl>
    <w:lvl w:ilvl="1" w:tentative="0">
      <w:start w:val="1"/>
      <w:numFmt w:val="chineseCountingThousand"/>
      <w:suff w:val="nothing"/>
      <w:lvlText w:val="（%2）"/>
      <w:lvlJc w:val="left"/>
      <w:pPr>
        <w:ind w:left="992" w:hanging="567"/>
      </w:pPr>
      <w:rPr>
        <w:rFonts w:hint="eastAsia"/>
      </w:rPr>
    </w:lvl>
    <w:lvl w:ilvl="2" w:tentative="0">
      <w:start w:val="1"/>
      <w:numFmt w:val="decimal"/>
      <w:suff w:val="nothing"/>
      <w:lvlText w:val="%3. "/>
      <w:lvlJc w:val="left"/>
      <w:pPr>
        <w:ind w:left="992" w:hanging="567"/>
      </w:pPr>
      <w:rPr>
        <w:rFonts w:hint="eastAsia"/>
      </w:rPr>
    </w:lvl>
    <w:lvl w:ilvl="3" w:tentative="0">
      <w:start w:val="1"/>
      <w:numFmt w:val="decimal"/>
      <w:pStyle w:val="6"/>
      <w:suff w:val="nothing"/>
      <w:lvlText w:val="（%4）"/>
      <w:lvlJc w:val="left"/>
      <w:pPr>
        <w:ind w:left="992" w:hanging="425"/>
      </w:pPr>
      <w:rPr>
        <w:rFonts w:hint="eastAsia"/>
      </w:rPr>
    </w:lvl>
    <w:lvl w:ilvl="4" w:tentative="0">
      <w:start w:val="1"/>
      <w:numFmt w:val="decimal"/>
      <w:suff w:val="nothing"/>
      <w:lvlText w:val="%5）"/>
      <w:lvlJc w:val="left"/>
      <w:pPr>
        <w:ind w:left="992" w:hanging="113"/>
      </w:pPr>
      <w:rPr>
        <w:rFonts w:hint="eastAsia"/>
      </w:rPr>
    </w:lvl>
    <w:lvl w:ilvl="5" w:tentative="0">
      <w:start w:val="1"/>
      <w:numFmt w:val="decimal"/>
      <w:suff w:val="nothing"/>
      <w:lvlText w:val="附件%6 "/>
      <w:lvlJc w:val="left"/>
      <w:pPr>
        <w:ind w:left="0" w:firstLine="0"/>
      </w:pPr>
      <w:rPr>
        <w:rFonts w:hint="eastAsia"/>
      </w:rPr>
    </w:lvl>
    <w:lvl w:ilvl="6" w:tentative="0">
      <w:start w:val="1"/>
      <w:numFmt w:val="chineseCountingThousand"/>
      <w:suff w:val="nothing"/>
      <w:lvlText w:val="%7、"/>
      <w:lvlJc w:val="left"/>
      <w:pPr>
        <w:ind w:left="992" w:hanging="567"/>
      </w:pPr>
      <w:rPr>
        <w:rFonts w:hint="eastAsia"/>
      </w:rPr>
    </w:lvl>
    <w:lvl w:ilvl="7" w:tentative="0">
      <w:start w:val="1"/>
      <w:numFmt w:val="chineseCountingThousand"/>
      <w:suff w:val="nothing"/>
      <w:lvlText w:val="（%8）"/>
      <w:lvlJc w:val="left"/>
      <w:pPr>
        <w:ind w:left="992" w:hanging="567"/>
      </w:pPr>
      <w:rPr>
        <w:rFonts w:hint="eastAsia"/>
      </w:rPr>
    </w:lvl>
    <w:lvl w:ilvl="8" w:tentative="0">
      <w:start w:val="1"/>
      <w:numFmt w:val="decimal"/>
      <w:suff w:val="nothing"/>
      <w:lvlText w:val="%9. "/>
      <w:lvlJc w:val="left"/>
      <w:pPr>
        <w:ind w:left="992" w:hanging="567"/>
      </w:pPr>
      <w:rPr>
        <w:rFonts w:hint="eastAsia"/>
      </w:rPr>
    </w:lvl>
  </w:abstractNum>
  <w:num w:numId="1">
    <w:abstractNumId w:val="1"/>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5NDkxZjJlZmZlZTZiZWE1MDY3NTZjM2Q5NDcxMjMifQ=="/>
  </w:docVars>
  <w:rsids>
    <w:rsidRoot w:val="00000000"/>
    <w:rsid w:val="00A63587"/>
    <w:rsid w:val="02842A4C"/>
    <w:rsid w:val="056703FD"/>
    <w:rsid w:val="056C0800"/>
    <w:rsid w:val="05EA61E4"/>
    <w:rsid w:val="06C477F9"/>
    <w:rsid w:val="07D85DEC"/>
    <w:rsid w:val="08C76FE7"/>
    <w:rsid w:val="0AD33E3F"/>
    <w:rsid w:val="0CA378A9"/>
    <w:rsid w:val="10097194"/>
    <w:rsid w:val="13245F30"/>
    <w:rsid w:val="14643C32"/>
    <w:rsid w:val="16854FB8"/>
    <w:rsid w:val="185F4F64"/>
    <w:rsid w:val="18A11D09"/>
    <w:rsid w:val="191537D0"/>
    <w:rsid w:val="196F1EE3"/>
    <w:rsid w:val="1A10125D"/>
    <w:rsid w:val="1BFD51C0"/>
    <w:rsid w:val="1E636C5A"/>
    <w:rsid w:val="1E7F925D"/>
    <w:rsid w:val="1EA95651"/>
    <w:rsid w:val="1FBF4C54"/>
    <w:rsid w:val="1FF7D623"/>
    <w:rsid w:val="1FFBE85A"/>
    <w:rsid w:val="20A35C0A"/>
    <w:rsid w:val="231F5E57"/>
    <w:rsid w:val="243C25FD"/>
    <w:rsid w:val="243E45C7"/>
    <w:rsid w:val="25BD74D5"/>
    <w:rsid w:val="26506219"/>
    <w:rsid w:val="27715ADA"/>
    <w:rsid w:val="27D35B7A"/>
    <w:rsid w:val="2916434C"/>
    <w:rsid w:val="2AFFB351"/>
    <w:rsid w:val="2B5EFB36"/>
    <w:rsid w:val="2CA9596B"/>
    <w:rsid w:val="2CD5152C"/>
    <w:rsid w:val="2D00468F"/>
    <w:rsid w:val="2D621327"/>
    <w:rsid w:val="2E3D58F0"/>
    <w:rsid w:val="2ECDFF53"/>
    <w:rsid w:val="2EF487F0"/>
    <w:rsid w:val="2EFC30B5"/>
    <w:rsid w:val="2F451E75"/>
    <w:rsid w:val="2FEE0481"/>
    <w:rsid w:val="30F2518A"/>
    <w:rsid w:val="32BC6F66"/>
    <w:rsid w:val="33EA3DD6"/>
    <w:rsid w:val="379E73FF"/>
    <w:rsid w:val="37A75B88"/>
    <w:rsid w:val="38302715"/>
    <w:rsid w:val="3837070D"/>
    <w:rsid w:val="38397A81"/>
    <w:rsid w:val="39641F82"/>
    <w:rsid w:val="3B5C5AC8"/>
    <w:rsid w:val="3B895CD0"/>
    <w:rsid w:val="3C4262AE"/>
    <w:rsid w:val="3D663497"/>
    <w:rsid w:val="3ECDE0F3"/>
    <w:rsid w:val="3F170857"/>
    <w:rsid w:val="3F4D9F1F"/>
    <w:rsid w:val="3FDFC337"/>
    <w:rsid w:val="3FFDB251"/>
    <w:rsid w:val="3FFEB7B4"/>
    <w:rsid w:val="412D35A2"/>
    <w:rsid w:val="41400D41"/>
    <w:rsid w:val="41FD6CD6"/>
    <w:rsid w:val="423D19F9"/>
    <w:rsid w:val="42657890"/>
    <w:rsid w:val="429709CE"/>
    <w:rsid w:val="429C1680"/>
    <w:rsid w:val="43220D93"/>
    <w:rsid w:val="437F50F9"/>
    <w:rsid w:val="44067D83"/>
    <w:rsid w:val="44C7D005"/>
    <w:rsid w:val="452B54E9"/>
    <w:rsid w:val="46337302"/>
    <w:rsid w:val="46761547"/>
    <w:rsid w:val="48AD4DE7"/>
    <w:rsid w:val="48C0506B"/>
    <w:rsid w:val="4C3B082E"/>
    <w:rsid w:val="4F6C798B"/>
    <w:rsid w:val="4FB43B1B"/>
    <w:rsid w:val="50CA51CE"/>
    <w:rsid w:val="51056B84"/>
    <w:rsid w:val="517353C5"/>
    <w:rsid w:val="51DB4E7A"/>
    <w:rsid w:val="533705A7"/>
    <w:rsid w:val="538E2CE2"/>
    <w:rsid w:val="53CC27A6"/>
    <w:rsid w:val="53FF633D"/>
    <w:rsid w:val="55726311"/>
    <w:rsid w:val="5696434F"/>
    <w:rsid w:val="597724A0"/>
    <w:rsid w:val="59DC5DE1"/>
    <w:rsid w:val="5CDC0664"/>
    <w:rsid w:val="5D422BF8"/>
    <w:rsid w:val="5DE55B2B"/>
    <w:rsid w:val="5E073B57"/>
    <w:rsid w:val="5F5D2E4C"/>
    <w:rsid w:val="5F5F4E16"/>
    <w:rsid w:val="5FFC0086"/>
    <w:rsid w:val="60F460CA"/>
    <w:rsid w:val="61FF67DF"/>
    <w:rsid w:val="621D4C56"/>
    <w:rsid w:val="63A947E4"/>
    <w:rsid w:val="64C97428"/>
    <w:rsid w:val="66D01633"/>
    <w:rsid w:val="675F1077"/>
    <w:rsid w:val="69450BD9"/>
    <w:rsid w:val="69B83AA1"/>
    <w:rsid w:val="6BDD9733"/>
    <w:rsid w:val="6CE36AAC"/>
    <w:rsid w:val="6DDC46C7"/>
    <w:rsid w:val="6F1E2461"/>
    <w:rsid w:val="6F415726"/>
    <w:rsid w:val="73B38D20"/>
    <w:rsid w:val="74B21605"/>
    <w:rsid w:val="75032589"/>
    <w:rsid w:val="76E732D0"/>
    <w:rsid w:val="77D5581E"/>
    <w:rsid w:val="77EFF23D"/>
    <w:rsid w:val="784C1F84"/>
    <w:rsid w:val="79FF1AC8"/>
    <w:rsid w:val="7A2E0F94"/>
    <w:rsid w:val="7AF76DBA"/>
    <w:rsid w:val="7B073F40"/>
    <w:rsid w:val="7BF833BE"/>
    <w:rsid w:val="7D032E2D"/>
    <w:rsid w:val="7DB79BF0"/>
    <w:rsid w:val="7E57A405"/>
    <w:rsid w:val="7E647C94"/>
    <w:rsid w:val="7E904D24"/>
    <w:rsid w:val="7FD7D1E5"/>
    <w:rsid w:val="7FDF4094"/>
    <w:rsid w:val="7FEE888B"/>
    <w:rsid w:val="7FEFF3B1"/>
    <w:rsid w:val="7FF77E72"/>
    <w:rsid w:val="7FFF6F98"/>
    <w:rsid w:val="992CB6A4"/>
    <w:rsid w:val="9CDFB89D"/>
    <w:rsid w:val="9D4B5CFF"/>
    <w:rsid w:val="9F3F3F04"/>
    <w:rsid w:val="A5E60488"/>
    <w:rsid w:val="A9BDF1C9"/>
    <w:rsid w:val="ABDF5D6C"/>
    <w:rsid w:val="AF7F9813"/>
    <w:rsid w:val="AFFEF140"/>
    <w:rsid w:val="B95F3CE4"/>
    <w:rsid w:val="BA7B23C6"/>
    <w:rsid w:val="BF37AF9A"/>
    <w:rsid w:val="BFD32D33"/>
    <w:rsid w:val="BFEC7722"/>
    <w:rsid w:val="BFEF9E61"/>
    <w:rsid w:val="D7C978AF"/>
    <w:rsid w:val="DADF3FB0"/>
    <w:rsid w:val="DBE624DC"/>
    <w:rsid w:val="DEE805F5"/>
    <w:rsid w:val="DFE98759"/>
    <w:rsid w:val="E3C78D24"/>
    <w:rsid w:val="E9D7A665"/>
    <w:rsid w:val="EBBF99B0"/>
    <w:rsid w:val="ED790AF6"/>
    <w:rsid w:val="EF7757DF"/>
    <w:rsid w:val="EFF5D542"/>
    <w:rsid w:val="F7BE0756"/>
    <w:rsid w:val="F7F19F9F"/>
    <w:rsid w:val="F7F833AB"/>
    <w:rsid w:val="F9BFD1DB"/>
    <w:rsid w:val="FBED5BBA"/>
    <w:rsid w:val="FD3FF917"/>
    <w:rsid w:val="FE734873"/>
    <w:rsid w:val="FE77C583"/>
    <w:rsid w:val="FEFDC54D"/>
    <w:rsid w:val="FFAB6763"/>
    <w:rsid w:val="FFC6AE71"/>
    <w:rsid w:val="FFF814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3"/>
    <w:next w:val="3"/>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3"/>
    <w:next w:val="3"/>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3"/>
    <w:next w:val="3"/>
    <w:unhideWhenUsed/>
    <w:qFormat/>
    <w:uiPriority w:val="0"/>
    <w:pPr>
      <w:widowControl w:val="0"/>
      <w:numPr>
        <w:ilvl w:val="2"/>
        <w:numId w:val="1"/>
      </w:numPr>
      <w:spacing w:before="100" w:beforeLines="100" w:line="240" w:lineRule="auto"/>
      <w:ind w:left="720" w:leftChars="100" w:hanging="720"/>
      <w:jc w:val="both"/>
      <w:outlineLvl w:val="2"/>
    </w:pPr>
    <w:rPr>
      <w:rFonts w:ascii="Times New Roman" w:hAnsi="Times New Roman" w:eastAsia="楷体" w:cstheme="minorBidi"/>
      <w:b/>
      <w:bCs/>
      <w:kern w:val="2"/>
      <w:sz w:val="32"/>
      <w:szCs w:val="32"/>
    </w:rPr>
  </w:style>
  <w:style w:type="paragraph" w:styleId="6">
    <w:name w:val="heading 4"/>
    <w:basedOn w:val="3"/>
    <w:next w:val="1"/>
    <w:qFormat/>
    <w:uiPriority w:val="9"/>
    <w:pPr>
      <w:keepNext/>
      <w:keepLines/>
      <w:numPr>
        <w:ilvl w:val="3"/>
        <w:numId w:val="2"/>
      </w:numPr>
      <w:adjustRightInd w:val="0"/>
      <w:spacing w:before="120" w:after="60"/>
      <w:ind w:left="0" w:firstLine="200"/>
      <w:outlineLvl w:val="3"/>
    </w:pPr>
    <w:rPr>
      <w:rFonts w:cstheme="majorBidi"/>
      <w:b/>
      <w:bCs/>
    </w:rPr>
  </w:style>
  <w:style w:type="character" w:default="1" w:styleId="20">
    <w:name w:val="Default Paragraph Font"/>
    <w:semiHidden/>
    <w:qFormat/>
    <w:uiPriority w:val="0"/>
  </w:style>
  <w:style w:type="table" w:default="1" w:styleId="18">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3">
    <w:name w:val="闻政正文"/>
    <w:basedOn w:val="1"/>
    <w:qFormat/>
    <w:uiPriority w:val="3"/>
    <w:pPr>
      <w:spacing w:line="500" w:lineRule="exact"/>
      <w:ind w:firstLine="200" w:firstLineChars="200"/>
    </w:pPr>
    <w:rPr>
      <w:rFonts w:ascii="Times New Roman" w:hAnsi="Times New Roman" w:eastAsia="仿宋_GB2312" w:cs="Times New Roman"/>
      <w:kern w:val="0"/>
      <w:sz w:val="28"/>
      <w:szCs w:val="28"/>
      <w:lang w:val="zh-CN"/>
    </w:rPr>
  </w:style>
  <w:style w:type="paragraph" w:styleId="7">
    <w:name w:val="annotation text"/>
    <w:basedOn w:val="1"/>
    <w:semiHidden/>
    <w:unhideWhenUsed/>
    <w:qFormat/>
    <w:uiPriority w:val="99"/>
    <w:pPr>
      <w:jc w:val="left"/>
    </w:pPr>
  </w:style>
  <w:style w:type="paragraph" w:styleId="8">
    <w:name w:val="Body Text"/>
    <w:basedOn w:val="1"/>
    <w:qFormat/>
    <w:uiPriority w:val="0"/>
  </w:style>
  <w:style w:type="paragraph" w:styleId="9">
    <w:name w:val="Body Text Indent"/>
    <w:basedOn w:val="1"/>
    <w:next w:val="1"/>
    <w:qFormat/>
    <w:uiPriority w:val="99"/>
    <w:pPr>
      <w:tabs>
        <w:tab w:val="right" w:leader="middleDot" w:pos="8820"/>
      </w:tabs>
      <w:spacing w:line="360" w:lineRule="auto"/>
      <w:ind w:left="840"/>
    </w:pPr>
    <w:rPr>
      <w:sz w:val="24"/>
    </w:rPr>
  </w:style>
  <w:style w:type="paragraph" w:styleId="10">
    <w:name w:val="Plain Text"/>
    <w:basedOn w:val="1"/>
    <w:qFormat/>
    <w:uiPriority w:val="0"/>
    <w:rPr>
      <w:rFonts w:ascii="宋体" w:hAnsi="Courier New"/>
      <w:kern w:val="0"/>
      <w:szCs w:val="21"/>
    </w:rPr>
  </w:style>
  <w:style w:type="paragraph" w:styleId="11">
    <w:name w:val="footer"/>
    <w:basedOn w:val="1"/>
    <w:qFormat/>
    <w:uiPriority w:val="0"/>
    <w:pPr>
      <w:tabs>
        <w:tab w:val="center" w:pos="4153"/>
        <w:tab w:val="right" w:pos="8306"/>
      </w:tabs>
      <w:snapToGrid w:val="0"/>
      <w:jc w:val="left"/>
    </w:pPr>
    <w:rPr>
      <w:sz w:val="18"/>
    </w:rPr>
  </w:style>
  <w:style w:type="paragraph" w:styleId="12">
    <w:name w:val="envelope return"/>
    <w:basedOn w:val="1"/>
    <w:qFormat/>
    <w:uiPriority w:val="0"/>
    <w:pPr>
      <w:snapToGrid w:val="0"/>
    </w:pPr>
    <w:rPr>
      <w:rFonts w:ascii="Arial" w:hAnsi="Arial"/>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Normal (Web)"/>
    <w:basedOn w:val="1"/>
    <w:qFormat/>
    <w:uiPriority w:val="0"/>
    <w:rPr>
      <w:sz w:val="24"/>
    </w:rPr>
  </w:style>
  <w:style w:type="paragraph" w:styleId="15">
    <w:name w:val="Title"/>
    <w:basedOn w:val="1"/>
    <w:next w:val="1"/>
    <w:qFormat/>
    <w:uiPriority w:val="99"/>
    <w:pPr>
      <w:spacing w:before="240" w:after="60"/>
      <w:jc w:val="center"/>
      <w:outlineLvl w:val="0"/>
    </w:pPr>
    <w:rPr>
      <w:rFonts w:ascii="Cambria" w:hAnsi="Cambria"/>
      <w:b/>
      <w:bCs/>
      <w:kern w:val="0"/>
      <w:sz w:val="32"/>
      <w:szCs w:val="32"/>
    </w:rPr>
  </w:style>
  <w:style w:type="paragraph" w:styleId="16">
    <w:name w:val="Body Text First Indent"/>
    <w:basedOn w:val="8"/>
    <w:qFormat/>
    <w:uiPriority w:val="0"/>
    <w:pPr>
      <w:ind w:firstLine="420" w:firstLineChars="100"/>
    </w:pPr>
  </w:style>
  <w:style w:type="paragraph" w:styleId="17">
    <w:name w:val="Body Text First Indent 2"/>
    <w:basedOn w:val="9"/>
    <w:next w:val="1"/>
    <w:qFormat/>
    <w:uiPriority w:val="0"/>
    <w:pPr>
      <w:spacing w:after="120" w:line="240" w:lineRule="auto"/>
      <w:ind w:left="420" w:firstLine="210"/>
    </w:pPr>
    <w:rPr>
      <w:sz w:val="21"/>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basedOn w:val="20"/>
    <w:qFormat/>
    <w:uiPriority w:val="0"/>
  </w:style>
  <w:style w:type="paragraph" w:customStyle="1" w:styleId="23">
    <w:name w:val="_Style 2"/>
    <w:basedOn w:val="1"/>
    <w:qFormat/>
    <w:uiPriority w:val="0"/>
    <w:pPr>
      <w:adjustRightInd w:val="0"/>
      <w:snapToGrid w:val="0"/>
    </w:pPr>
    <w:rPr>
      <w:rFonts w:ascii="Tahoma" w:hAnsi="Tahoma"/>
      <w:kern w:val="0"/>
      <w:sz w:val="28"/>
      <w:szCs w:val="28"/>
    </w:rPr>
  </w:style>
  <w:style w:type="paragraph" w:customStyle="1" w:styleId="24">
    <w:name w:val="Default"/>
    <w:qFormat/>
    <w:uiPriority w:val="0"/>
    <w:pPr>
      <w:widowControl w:val="0"/>
      <w:autoSpaceDE w:val="0"/>
      <w:autoSpaceDN w:val="0"/>
      <w:adjustRightInd w:val="0"/>
    </w:pPr>
    <w:rPr>
      <w:rFonts w:ascii="HiddenHorzOCl" w:eastAsia="HiddenHorzOCl" w:cs="HiddenHorzOCl" w:hAnsiTheme="minorHAnsi"/>
      <w:color w:val="000000"/>
      <w:sz w:val="24"/>
      <w:szCs w:val="24"/>
      <w:lang w:val="en-US" w:eastAsia="zh-CN" w:bidi="ar-SA"/>
    </w:rPr>
  </w:style>
  <w:style w:type="paragraph" w:customStyle="1" w:styleId="25">
    <w:name w:val="CM5"/>
    <w:basedOn w:val="24"/>
    <w:next w:val="24"/>
    <w:qFormat/>
    <w:uiPriority w:val="99"/>
    <w:pPr>
      <w:spacing w:line="608" w:lineRule="atLeast"/>
    </w:pPr>
    <w:rPr>
      <w:rFonts w:cstheme="minorBidi"/>
      <w:color w:val="auto"/>
    </w:rPr>
  </w:style>
  <w:style w:type="paragraph" w:customStyle="1" w:styleId="26">
    <w:name w:val="CM7"/>
    <w:basedOn w:val="24"/>
    <w:next w:val="24"/>
    <w:qFormat/>
    <w:uiPriority w:val="99"/>
    <w:pPr>
      <w:spacing w:line="606" w:lineRule="atLeast"/>
    </w:pPr>
    <w:rPr>
      <w:rFonts w:cstheme="minorBidi"/>
      <w:color w:val="auto"/>
    </w:rPr>
  </w:style>
  <w:style w:type="paragraph" w:customStyle="1" w:styleId="27">
    <w:name w:val="CM23"/>
    <w:basedOn w:val="24"/>
    <w:next w:val="24"/>
    <w:qFormat/>
    <w:uiPriority w:val="99"/>
    <w:rPr>
      <w:rFonts w:cstheme="minorBidi"/>
      <w:color w:val="auto"/>
    </w:rPr>
  </w:style>
  <w:style w:type="paragraph" w:customStyle="1" w:styleId="28">
    <w:name w:val="CM13"/>
    <w:basedOn w:val="24"/>
    <w:next w:val="24"/>
    <w:qFormat/>
    <w:uiPriority w:val="99"/>
    <w:pPr>
      <w:spacing w:line="580" w:lineRule="atLeast"/>
    </w:pPr>
    <w:rPr>
      <w:rFonts w:cstheme="minorBidi"/>
      <w:color w:val="auto"/>
    </w:rPr>
  </w:style>
  <w:style w:type="paragraph" w:customStyle="1" w:styleId="29">
    <w:name w:val="CM22"/>
    <w:basedOn w:val="24"/>
    <w:next w:val="24"/>
    <w:qFormat/>
    <w:uiPriority w:val="99"/>
    <w:rPr>
      <w:rFonts w:cstheme="minorBidi"/>
      <w:color w:val="auto"/>
    </w:rPr>
  </w:style>
  <w:style w:type="paragraph" w:customStyle="1" w:styleId="30">
    <w:name w:val="样式1"/>
    <w:basedOn w:val="1"/>
    <w:qFormat/>
    <w:uiPriority w:val="0"/>
    <w:pPr>
      <w:keepNext/>
      <w:overflowPunct w:val="0"/>
      <w:topLinePunct/>
      <w:autoSpaceDE w:val="0"/>
      <w:spacing w:line="560" w:lineRule="exact"/>
      <w:ind w:firstLine="640" w:firstLineChars="200"/>
    </w:pPr>
    <w:rPr>
      <w:rFonts w:hint="default" w:asciiTheme="minorAscii" w:hAnsiTheme="minorAscii"/>
    </w:rPr>
  </w:style>
  <w:style w:type="character" w:customStyle="1" w:styleId="31">
    <w:name w:val="font21"/>
    <w:basedOn w:val="20"/>
    <w:qFormat/>
    <w:uiPriority w:val="0"/>
    <w:rPr>
      <w:rFonts w:hint="eastAsia" w:ascii="宋体" w:hAnsi="宋体" w:eastAsia="宋体" w:cs="宋体"/>
      <w:b/>
      <w:bCs/>
      <w:color w:val="000000"/>
      <w:sz w:val="20"/>
      <w:szCs w:val="20"/>
      <w:u w:val="none"/>
    </w:rPr>
  </w:style>
  <w:style w:type="character" w:customStyle="1" w:styleId="32">
    <w:name w:val="font11"/>
    <w:basedOn w:val="20"/>
    <w:qFormat/>
    <w:uiPriority w:val="0"/>
    <w:rPr>
      <w:rFonts w:hint="eastAsia" w:ascii="宋体" w:hAnsi="宋体" w:eastAsia="宋体" w:cs="宋体"/>
      <w:color w:val="000000"/>
      <w:sz w:val="20"/>
      <w:szCs w:val="20"/>
      <w:u w:val="none"/>
    </w:rPr>
  </w:style>
  <w:style w:type="character" w:customStyle="1" w:styleId="33">
    <w:name w:val="font31"/>
    <w:basedOn w:val="20"/>
    <w:qFormat/>
    <w:uiPriority w:val="0"/>
    <w:rPr>
      <w:rFonts w:hint="eastAsia" w:ascii="宋体" w:hAnsi="宋体" w:eastAsia="宋体" w:cs="宋体"/>
      <w:b/>
      <w:bCs/>
      <w:color w:val="000000"/>
      <w:sz w:val="28"/>
      <w:szCs w:val="28"/>
      <w:u w:val="none"/>
    </w:rPr>
  </w:style>
  <w:style w:type="character" w:customStyle="1" w:styleId="34">
    <w:name w:val="font51"/>
    <w:basedOn w:val="20"/>
    <w:qFormat/>
    <w:uiPriority w:val="0"/>
    <w:rPr>
      <w:rFonts w:hint="eastAsia" w:ascii="宋体" w:hAnsi="宋体" w:eastAsia="宋体" w:cs="宋体"/>
      <w:color w:val="000000"/>
      <w:sz w:val="28"/>
      <w:szCs w:val="28"/>
      <w:u w:val="none"/>
    </w:rPr>
  </w:style>
  <w:style w:type="paragraph" w:customStyle="1" w:styleId="35">
    <w:name w:val="p0"/>
    <w:qFormat/>
    <w:uiPriority w:val="0"/>
    <w:pPr>
      <w:widowControl/>
      <w:spacing w:before="100" w:beforeAutospacing="1" w:after="100" w:afterAutospacing="1"/>
      <w:jc w:val="left"/>
    </w:pPr>
    <w:rPr>
      <w:rFonts w:ascii="宋体" w:hAnsi="Times New Roman" w:eastAsia="宋体" w:cs="宋体"/>
      <w:kern w:val="0"/>
      <w:sz w:val="24"/>
      <w:szCs w:val="24"/>
      <w:lang w:val="en-US" w:eastAsia="zh-CN" w:bidi="ar-SA"/>
    </w:rPr>
  </w:style>
  <w:style w:type="paragraph" w:customStyle="1" w:styleId="36">
    <w:name w:val="Body text|1"/>
    <w:basedOn w:val="1"/>
    <w:qFormat/>
    <w:uiPriority w:val="0"/>
    <w:pPr>
      <w:widowControl w:val="0"/>
      <w:shd w:val="clear" w:color="auto" w:fill="auto"/>
      <w:spacing w:after="600" w:line="437" w:lineRule="auto"/>
      <w:ind w:firstLine="140"/>
    </w:pPr>
    <w:rPr>
      <w:rFonts w:ascii="宋体" w:hAnsi="宋体" w:eastAsia="宋体" w:cs="宋体"/>
      <w:sz w:val="28"/>
      <w:szCs w:val="28"/>
      <w:u w:val="none"/>
      <w:shd w:val="clear" w:color="auto" w:fill="auto"/>
      <w:lang w:val="zh-TW" w:eastAsia="zh-TW" w:bidi="zh-TW"/>
    </w:rPr>
  </w:style>
  <w:style w:type="table" w:customStyle="1" w:styleId="37">
    <w:name w:val="Table Normal"/>
    <w:basedOn w:val="18"/>
    <w:semiHidden/>
    <w:unhideWhenUsed/>
    <w:qFormat/>
    <w:uiPriority w:val="0"/>
    <w:tblPr>
      <w:tblCellMar>
        <w:top w:w="0" w:type="dxa"/>
        <w:left w:w="0" w:type="dxa"/>
        <w:bottom w:w="0" w:type="dxa"/>
        <w:right w:w="0" w:type="dxa"/>
      </w:tblCellMar>
    </w:tblPr>
  </w:style>
  <w:style w:type="paragraph" w:customStyle="1" w:styleId="38">
    <w:name w:val="Table Text"/>
    <w:basedOn w:val="1"/>
    <w:semiHidden/>
    <w:qFormat/>
    <w:uiPriority w:val="0"/>
    <w:rPr>
      <w:rFonts w:ascii="FangSong_GB2312" w:hAnsi="FangSong_GB2312" w:eastAsia="FangSong_GB2312" w:cs="FangSong_GB2312"/>
      <w:sz w:val="22"/>
      <w:szCs w:val="22"/>
      <w:lang w:val="en-US" w:eastAsia="en-US" w:bidi="ar-SA"/>
    </w:rPr>
  </w:style>
  <w:style w:type="character" w:customStyle="1" w:styleId="39">
    <w:name w:val="16"/>
    <w:basedOn w:val="20"/>
    <w:qFormat/>
    <w:uiPriority w:val="0"/>
    <w:rPr>
      <w:rFonts w:hint="eastAsia" w:ascii="仿宋_GB2312" w:hAnsi="仿宋_GB2312" w:eastAsia="仿宋_GB2312" w:cs="仿宋_GB2312"/>
    </w:rPr>
  </w:style>
  <w:style w:type="character" w:customStyle="1" w:styleId="40">
    <w:name w:val="10"/>
    <w:basedOn w:val="20"/>
    <w:qFormat/>
    <w:uiPriority w:val="0"/>
    <w:rPr>
      <w:rFonts w:hint="eastAsia" w:ascii="仿宋_GB2312" w:hAnsi="仿宋_GB2312" w:eastAsia="仿宋_GB2312" w:cs="仿宋_GB2312"/>
    </w:rPr>
  </w:style>
  <w:style w:type="character" w:customStyle="1" w:styleId="41">
    <w:name w:val="15"/>
    <w:basedOn w:val="20"/>
    <w:qFormat/>
    <w:uiPriority w:val="0"/>
    <w:rPr>
      <w:rFonts w:hint="eastAsia" w:ascii="仿宋_GB2312" w:hAnsi="仿宋_GB2312" w:eastAsia="仿宋_GB2312" w:cs="仿宋_GB2312"/>
      <w:b/>
    </w:rPr>
  </w:style>
  <w:style w:type="paragraph" w:customStyle="1" w:styleId="42">
    <w:name w:val="BodyText1I"/>
    <w:basedOn w:val="43"/>
    <w:qFormat/>
    <w:uiPriority w:val="0"/>
    <w:pPr>
      <w:ind w:firstLine="420" w:firstLineChars="100"/>
    </w:pPr>
  </w:style>
  <w:style w:type="paragraph" w:customStyle="1" w:styleId="43">
    <w:name w:val="BodyText"/>
    <w:basedOn w:val="1"/>
    <w:qFormat/>
    <w:uiPriority w:val="0"/>
    <w:pPr>
      <w:spacing w:after="120"/>
      <w:textAlignment w:val="baseline"/>
    </w:pPr>
    <w:rPr>
      <w:szCs w:val="24"/>
    </w:rPr>
  </w:style>
  <w:style w:type="paragraph" w:customStyle="1" w:styleId="44">
    <w:name w:val="闻政图表名"/>
    <w:basedOn w:val="1"/>
    <w:qFormat/>
    <w:uiPriority w:val="4"/>
    <w:pPr>
      <w:spacing w:before="60" w:after="60"/>
      <w:jc w:val="center"/>
    </w:pPr>
    <w:rPr>
      <w:rFonts w:ascii="Times New Roman" w:hAnsi="Times New Roman" w:eastAsia="仿宋_GB2312" w:cs="Times New Roman"/>
      <w:b/>
      <w:kern w:val="0"/>
      <w:sz w:val="24"/>
      <w:szCs w:val="28"/>
    </w:rPr>
  </w:style>
  <w:style w:type="paragraph" w:customStyle="1" w:styleId="45">
    <w:name w:val="闻政表文字"/>
    <w:basedOn w:val="3"/>
    <w:qFormat/>
    <w:uiPriority w:val="5"/>
    <w:pPr>
      <w:widowControl/>
      <w:spacing w:line="320" w:lineRule="exact"/>
      <w:ind w:firstLine="0" w:firstLineChars="0"/>
      <w:jc w:val="center"/>
    </w:pPr>
    <w:rPr>
      <w:rFonts w:cs="宋体"/>
      <w:bCs/>
      <w:color w:val="000000"/>
      <w:sz w:val="22"/>
      <w:szCs w:val="22"/>
    </w:rPr>
  </w:style>
  <w:style w:type="paragraph" w:customStyle="1" w:styleId="46">
    <w:name w:val="闻政页码"/>
    <w:qFormat/>
    <w:uiPriority w:val="6"/>
    <w:pPr>
      <w:jc w:val="center"/>
    </w:pPr>
    <w:rPr>
      <w:rFonts w:ascii="Times New Roman" w:hAnsi="Times New Roman" w:eastAsia="Times New Roman" w:cs="Times New Roman"/>
      <w:sz w:val="21"/>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3990</Words>
  <Characters>4162</Characters>
  <Lines>1</Lines>
  <Paragraphs>1</Paragraphs>
  <TotalTime>6</TotalTime>
  <ScaleCrop>false</ScaleCrop>
  <LinksUpToDate>false</LinksUpToDate>
  <CharactersWithSpaces>4228</CharactersWithSpaces>
  <Application>WPS Office_11.8.2.10183_F1E327BC-269C-435d-A152-05C5408002CA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2024-12-14T18:12:00Z</dcterms:created>
  <dc:creator>Administrator</dc:creator>
  <cp:lastModifiedBy>张茜</cp:lastModifiedBy>
  <cp:lastPrinted>2026-10-20T17:21:00Z</cp:lastPrinted>
  <dcterms:modified xsi:type="dcterms:W3CDTF">2026-10-20T11:14:39Z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y fmtid="{D5CDD505-2E9C-101B-9397-08002B2CF9AE}" pid="3" name="ICV">
    <vt:lpwstr>921823942C28F123014D846A76A88E47_43</vt:lpwstr>
  </property>
  <property fmtid="{D5CDD505-2E9C-101B-9397-08002B2CF9AE}" pid="4" name="KSOTemplateDocerSaveRecord">
    <vt:lpwstr>eyJoZGlkIjoiNzI4MzM4OGU2OGE5Y2M4ZDIyNWM0NmEwYjEzNTNkZGMiLCJ1c2VySWQiOiIzNTA1NDkyOTcifQ==</vt:lpwstr>
  </property>
</Properties>
</file>